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3C9A8" w14:textId="7C5D3D36" w:rsidR="00BB5F5F" w:rsidRPr="00AD4516" w:rsidRDefault="00BB5F5F" w:rsidP="00641776">
      <w:pPr>
        <w:autoSpaceDE w:val="0"/>
        <w:autoSpaceDN w:val="0"/>
        <w:adjustRightInd w:val="0"/>
        <w:spacing w:after="0" w:line="240" w:lineRule="auto"/>
        <w:rPr>
          <w:rFonts w:ascii="Arial" w:hAnsi="Arial" w:cs="Arial"/>
          <w:b/>
          <w:bCs/>
          <w:sz w:val="36"/>
          <w:szCs w:val="36"/>
        </w:rPr>
      </w:pPr>
      <w:r w:rsidRPr="00AD4516">
        <w:rPr>
          <w:rFonts w:ascii="Arial" w:hAnsi="Arial" w:cs="Arial"/>
          <w:b/>
          <w:bCs/>
          <w:sz w:val="36"/>
          <w:szCs w:val="36"/>
        </w:rPr>
        <w:t>CORTIS-01 Public dataset</w:t>
      </w:r>
    </w:p>
    <w:sdt>
      <w:sdtPr>
        <w:rPr>
          <w:rFonts w:ascii="Arial" w:eastAsiaTheme="minorHAnsi" w:hAnsi="Arial" w:cs="Arial"/>
          <w:color w:val="auto"/>
          <w:sz w:val="24"/>
          <w:szCs w:val="24"/>
        </w:rPr>
        <w:id w:val="-1735697398"/>
        <w:docPartObj>
          <w:docPartGallery w:val="Table of Contents"/>
          <w:docPartUnique/>
        </w:docPartObj>
      </w:sdtPr>
      <w:sdtEndPr>
        <w:rPr>
          <w:b/>
          <w:bCs/>
          <w:noProof/>
        </w:rPr>
      </w:sdtEndPr>
      <w:sdtContent>
        <w:p w14:paraId="05F1159F" w14:textId="61514D31" w:rsidR="00BB5F5F" w:rsidRPr="003F5B5A" w:rsidRDefault="00BB5F5F" w:rsidP="00641776">
          <w:pPr>
            <w:pStyle w:val="TOCHeading"/>
            <w:spacing w:line="240" w:lineRule="auto"/>
            <w:rPr>
              <w:rFonts w:ascii="Arial" w:hAnsi="Arial" w:cs="Arial"/>
              <w:color w:val="auto"/>
              <w:sz w:val="24"/>
              <w:szCs w:val="24"/>
            </w:rPr>
          </w:pPr>
          <w:r w:rsidRPr="003F5B5A">
            <w:rPr>
              <w:rFonts w:ascii="Arial" w:hAnsi="Arial" w:cs="Arial"/>
              <w:color w:val="auto"/>
              <w:sz w:val="24"/>
              <w:szCs w:val="24"/>
            </w:rPr>
            <w:t>Contents</w:t>
          </w:r>
        </w:p>
        <w:p w14:paraId="06F3BAF3" w14:textId="7E368DEF" w:rsidR="00BB5F5F" w:rsidRPr="003F5B5A" w:rsidRDefault="00BB5F5F" w:rsidP="00641776">
          <w:pPr>
            <w:pStyle w:val="TOC1"/>
            <w:tabs>
              <w:tab w:val="left" w:pos="440"/>
              <w:tab w:val="right" w:leader="dot" w:pos="9350"/>
            </w:tabs>
            <w:spacing w:line="240" w:lineRule="auto"/>
            <w:rPr>
              <w:rFonts w:ascii="Arial" w:hAnsi="Arial" w:cs="Arial"/>
              <w:noProof/>
              <w:sz w:val="24"/>
              <w:szCs w:val="24"/>
            </w:rPr>
          </w:pPr>
          <w:r w:rsidRPr="003F5B5A">
            <w:rPr>
              <w:rFonts w:ascii="Arial" w:hAnsi="Arial" w:cs="Arial"/>
              <w:sz w:val="24"/>
              <w:szCs w:val="24"/>
            </w:rPr>
            <w:fldChar w:fldCharType="begin"/>
          </w:r>
          <w:r w:rsidRPr="003F5B5A">
            <w:rPr>
              <w:rFonts w:ascii="Arial" w:hAnsi="Arial" w:cs="Arial"/>
              <w:sz w:val="24"/>
              <w:szCs w:val="24"/>
            </w:rPr>
            <w:instrText xml:space="preserve"> TOC \o "1-3" \h \z \u </w:instrText>
          </w:r>
          <w:r w:rsidRPr="003F5B5A">
            <w:rPr>
              <w:rFonts w:ascii="Arial" w:hAnsi="Arial" w:cs="Arial"/>
              <w:sz w:val="24"/>
              <w:szCs w:val="24"/>
            </w:rPr>
            <w:fldChar w:fldCharType="separate"/>
          </w:r>
          <w:hyperlink w:anchor="_Toc36810838" w:history="1">
            <w:r w:rsidRPr="003F5B5A">
              <w:rPr>
                <w:rStyle w:val="Hyperlink"/>
                <w:rFonts w:ascii="Arial" w:hAnsi="Arial" w:cs="Arial"/>
                <w:noProof/>
                <w:sz w:val="24"/>
                <w:szCs w:val="24"/>
              </w:rPr>
              <w:t>1.</w:t>
            </w:r>
            <w:r w:rsidRPr="003F5B5A">
              <w:rPr>
                <w:rFonts w:ascii="Arial" w:hAnsi="Arial" w:cs="Arial"/>
                <w:noProof/>
                <w:sz w:val="24"/>
                <w:szCs w:val="24"/>
              </w:rPr>
              <w:tab/>
            </w:r>
            <w:r w:rsidRPr="003F5B5A">
              <w:rPr>
                <w:rStyle w:val="Hyperlink"/>
                <w:rFonts w:ascii="Arial" w:hAnsi="Arial" w:cs="Arial"/>
                <w:noProof/>
                <w:sz w:val="24"/>
                <w:szCs w:val="24"/>
              </w:rPr>
              <w:t>Study overview</w:t>
            </w:r>
            <w:r w:rsidRPr="003F5B5A">
              <w:rPr>
                <w:rFonts w:ascii="Arial" w:hAnsi="Arial" w:cs="Arial"/>
                <w:noProof/>
                <w:webHidden/>
                <w:sz w:val="24"/>
                <w:szCs w:val="24"/>
              </w:rPr>
              <w:tab/>
            </w:r>
            <w:r w:rsidRPr="003F5B5A">
              <w:rPr>
                <w:rFonts w:ascii="Arial" w:hAnsi="Arial" w:cs="Arial"/>
                <w:noProof/>
                <w:webHidden/>
                <w:sz w:val="24"/>
                <w:szCs w:val="24"/>
              </w:rPr>
              <w:fldChar w:fldCharType="begin"/>
            </w:r>
            <w:r w:rsidRPr="003F5B5A">
              <w:rPr>
                <w:rFonts w:ascii="Arial" w:hAnsi="Arial" w:cs="Arial"/>
                <w:noProof/>
                <w:webHidden/>
                <w:sz w:val="24"/>
                <w:szCs w:val="24"/>
              </w:rPr>
              <w:instrText xml:space="preserve"> PAGEREF _Toc36810838 \h </w:instrText>
            </w:r>
            <w:r w:rsidRPr="003F5B5A">
              <w:rPr>
                <w:rFonts w:ascii="Arial" w:hAnsi="Arial" w:cs="Arial"/>
                <w:noProof/>
                <w:webHidden/>
                <w:sz w:val="24"/>
                <w:szCs w:val="24"/>
              </w:rPr>
            </w:r>
            <w:r w:rsidRPr="003F5B5A">
              <w:rPr>
                <w:rFonts w:ascii="Arial" w:hAnsi="Arial" w:cs="Arial"/>
                <w:noProof/>
                <w:webHidden/>
                <w:sz w:val="24"/>
                <w:szCs w:val="24"/>
              </w:rPr>
              <w:fldChar w:fldCharType="separate"/>
            </w:r>
            <w:r w:rsidRPr="003F5B5A">
              <w:rPr>
                <w:rFonts w:ascii="Arial" w:hAnsi="Arial" w:cs="Arial"/>
                <w:noProof/>
                <w:webHidden/>
                <w:sz w:val="24"/>
                <w:szCs w:val="24"/>
              </w:rPr>
              <w:t>1</w:t>
            </w:r>
            <w:r w:rsidRPr="003F5B5A">
              <w:rPr>
                <w:rFonts w:ascii="Arial" w:hAnsi="Arial" w:cs="Arial"/>
                <w:noProof/>
                <w:webHidden/>
                <w:sz w:val="24"/>
                <w:szCs w:val="24"/>
              </w:rPr>
              <w:fldChar w:fldCharType="end"/>
            </w:r>
          </w:hyperlink>
        </w:p>
        <w:p w14:paraId="4F57B8F8" w14:textId="4EA88275" w:rsidR="00BB5F5F" w:rsidRPr="003F5B5A" w:rsidRDefault="00D05A34" w:rsidP="00641776">
          <w:pPr>
            <w:pStyle w:val="TOC1"/>
            <w:tabs>
              <w:tab w:val="left" w:pos="440"/>
              <w:tab w:val="right" w:leader="dot" w:pos="9350"/>
            </w:tabs>
            <w:spacing w:line="240" w:lineRule="auto"/>
            <w:rPr>
              <w:rFonts w:ascii="Arial" w:hAnsi="Arial" w:cs="Arial"/>
              <w:noProof/>
              <w:sz w:val="24"/>
              <w:szCs w:val="24"/>
            </w:rPr>
          </w:pPr>
          <w:hyperlink w:anchor="_Toc36810839" w:history="1">
            <w:r w:rsidR="00BB5F5F" w:rsidRPr="003F5B5A">
              <w:rPr>
                <w:rStyle w:val="Hyperlink"/>
                <w:rFonts w:ascii="Arial" w:hAnsi="Arial" w:cs="Arial"/>
                <w:noProof/>
                <w:sz w:val="24"/>
                <w:szCs w:val="24"/>
              </w:rPr>
              <w:t>2.</w:t>
            </w:r>
            <w:r w:rsidR="00BB5F5F" w:rsidRPr="003F5B5A">
              <w:rPr>
                <w:rFonts w:ascii="Arial" w:hAnsi="Arial" w:cs="Arial"/>
                <w:noProof/>
                <w:sz w:val="24"/>
                <w:szCs w:val="24"/>
              </w:rPr>
              <w:tab/>
            </w:r>
            <w:r w:rsidR="00BB5F5F" w:rsidRPr="003F5B5A">
              <w:rPr>
                <w:rStyle w:val="Hyperlink"/>
                <w:rFonts w:ascii="Arial" w:hAnsi="Arial" w:cs="Arial"/>
                <w:noProof/>
                <w:sz w:val="24"/>
                <w:szCs w:val="24"/>
              </w:rPr>
              <w:t>Acknowledgements</w:t>
            </w:r>
            <w:r w:rsidR="00BB5F5F" w:rsidRPr="003F5B5A">
              <w:rPr>
                <w:rFonts w:ascii="Arial" w:hAnsi="Arial" w:cs="Arial"/>
                <w:noProof/>
                <w:webHidden/>
                <w:sz w:val="24"/>
                <w:szCs w:val="24"/>
              </w:rPr>
              <w:tab/>
            </w:r>
            <w:r w:rsidR="00BB5F5F" w:rsidRPr="003F5B5A">
              <w:rPr>
                <w:rFonts w:ascii="Arial" w:hAnsi="Arial" w:cs="Arial"/>
                <w:noProof/>
                <w:webHidden/>
                <w:sz w:val="24"/>
                <w:szCs w:val="24"/>
              </w:rPr>
              <w:fldChar w:fldCharType="begin"/>
            </w:r>
            <w:r w:rsidR="00BB5F5F" w:rsidRPr="003F5B5A">
              <w:rPr>
                <w:rFonts w:ascii="Arial" w:hAnsi="Arial" w:cs="Arial"/>
                <w:noProof/>
                <w:webHidden/>
                <w:sz w:val="24"/>
                <w:szCs w:val="24"/>
              </w:rPr>
              <w:instrText xml:space="preserve"> PAGEREF _Toc36810839 \h </w:instrText>
            </w:r>
            <w:r w:rsidR="00BB5F5F" w:rsidRPr="003F5B5A">
              <w:rPr>
                <w:rFonts w:ascii="Arial" w:hAnsi="Arial" w:cs="Arial"/>
                <w:noProof/>
                <w:webHidden/>
                <w:sz w:val="24"/>
                <w:szCs w:val="24"/>
              </w:rPr>
            </w:r>
            <w:r w:rsidR="00BB5F5F" w:rsidRPr="003F5B5A">
              <w:rPr>
                <w:rFonts w:ascii="Arial" w:hAnsi="Arial" w:cs="Arial"/>
                <w:noProof/>
                <w:webHidden/>
                <w:sz w:val="24"/>
                <w:szCs w:val="24"/>
              </w:rPr>
              <w:fldChar w:fldCharType="separate"/>
            </w:r>
            <w:r w:rsidR="00BB5F5F" w:rsidRPr="003F5B5A">
              <w:rPr>
                <w:rFonts w:ascii="Arial" w:hAnsi="Arial" w:cs="Arial"/>
                <w:noProof/>
                <w:webHidden/>
                <w:sz w:val="24"/>
                <w:szCs w:val="24"/>
              </w:rPr>
              <w:t>2</w:t>
            </w:r>
            <w:r w:rsidR="00BB5F5F" w:rsidRPr="003F5B5A">
              <w:rPr>
                <w:rFonts w:ascii="Arial" w:hAnsi="Arial" w:cs="Arial"/>
                <w:noProof/>
                <w:webHidden/>
                <w:sz w:val="24"/>
                <w:szCs w:val="24"/>
              </w:rPr>
              <w:fldChar w:fldCharType="end"/>
            </w:r>
          </w:hyperlink>
        </w:p>
        <w:p w14:paraId="735FE0E0" w14:textId="1EEDE95F" w:rsidR="00BB5F5F" w:rsidRPr="003F5B5A" w:rsidRDefault="00D05A34" w:rsidP="00641776">
          <w:pPr>
            <w:pStyle w:val="TOC1"/>
            <w:tabs>
              <w:tab w:val="left" w:pos="440"/>
              <w:tab w:val="right" w:leader="dot" w:pos="9350"/>
            </w:tabs>
            <w:spacing w:line="240" w:lineRule="auto"/>
            <w:rPr>
              <w:rFonts w:ascii="Arial" w:hAnsi="Arial" w:cs="Arial"/>
              <w:noProof/>
              <w:sz w:val="24"/>
              <w:szCs w:val="24"/>
            </w:rPr>
          </w:pPr>
          <w:hyperlink w:anchor="_Toc36810840" w:history="1">
            <w:r w:rsidR="00BB5F5F" w:rsidRPr="003F5B5A">
              <w:rPr>
                <w:rStyle w:val="Hyperlink"/>
                <w:rFonts w:ascii="Arial" w:hAnsi="Arial" w:cs="Arial"/>
                <w:noProof/>
                <w:sz w:val="24"/>
                <w:szCs w:val="24"/>
              </w:rPr>
              <w:t>3.</w:t>
            </w:r>
            <w:r w:rsidR="00BB5F5F" w:rsidRPr="003F5B5A">
              <w:rPr>
                <w:rFonts w:ascii="Arial" w:hAnsi="Arial" w:cs="Arial"/>
                <w:noProof/>
                <w:sz w:val="24"/>
                <w:szCs w:val="24"/>
              </w:rPr>
              <w:tab/>
            </w:r>
            <w:r w:rsidR="00BB5F5F" w:rsidRPr="003F5B5A">
              <w:rPr>
                <w:rStyle w:val="Hyperlink"/>
                <w:rFonts w:ascii="Arial" w:hAnsi="Arial" w:cs="Arial"/>
                <w:noProof/>
                <w:sz w:val="24"/>
                <w:szCs w:val="24"/>
              </w:rPr>
              <w:t>Funding source</w:t>
            </w:r>
            <w:r w:rsidR="00BB5F5F" w:rsidRPr="003F5B5A">
              <w:rPr>
                <w:rFonts w:ascii="Arial" w:hAnsi="Arial" w:cs="Arial"/>
                <w:noProof/>
                <w:webHidden/>
                <w:sz w:val="24"/>
                <w:szCs w:val="24"/>
              </w:rPr>
              <w:tab/>
            </w:r>
            <w:r w:rsidR="00BB5F5F" w:rsidRPr="003F5B5A">
              <w:rPr>
                <w:rFonts w:ascii="Arial" w:hAnsi="Arial" w:cs="Arial"/>
                <w:noProof/>
                <w:webHidden/>
                <w:sz w:val="24"/>
                <w:szCs w:val="24"/>
              </w:rPr>
              <w:fldChar w:fldCharType="begin"/>
            </w:r>
            <w:r w:rsidR="00BB5F5F" w:rsidRPr="003F5B5A">
              <w:rPr>
                <w:rFonts w:ascii="Arial" w:hAnsi="Arial" w:cs="Arial"/>
                <w:noProof/>
                <w:webHidden/>
                <w:sz w:val="24"/>
                <w:szCs w:val="24"/>
              </w:rPr>
              <w:instrText xml:space="preserve"> PAGEREF _Toc36810840 \h </w:instrText>
            </w:r>
            <w:r w:rsidR="00BB5F5F" w:rsidRPr="003F5B5A">
              <w:rPr>
                <w:rFonts w:ascii="Arial" w:hAnsi="Arial" w:cs="Arial"/>
                <w:noProof/>
                <w:webHidden/>
                <w:sz w:val="24"/>
                <w:szCs w:val="24"/>
              </w:rPr>
            </w:r>
            <w:r w:rsidR="00BB5F5F" w:rsidRPr="003F5B5A">
              <w:rPr>
                <w:rFonts w:ascii="Arial" w:hAnsi="Arial" w:cs="Arial"/>
                <w:noProof/>
                <w:webHidden/>
                <w:sz w:val="24"/>
                <w:szCs w:val="24"/>
              </w:rPr>
              <w:fldChar w:fldCharType="separate"/>
            </w:r>
            <w:r w:rsidR="00BB5F5F" w:rsidRPr="003F5B5A">
              <w:rPr>
                <w:rFonts w:ascii="Arial" w:hAnsi="Arial" w:cs="Arial"/>
                <w:noProof/>
                <w:webHidden/>
                <w:sz w:val="24"/>
                <w:szCs w:val="24"/>
              </w:rPr>
              <w:t>2</w:t>
            </w:r>
            <w:r w:rsidR="00BB5F5F" w:rsidRPr="003F5B5A">
              <w:rPr>
                <w:rFonts w:ascii="Arial" w:hAnsi="Arial" w:cs="Arial"/>
                <w:noProof/>
                <w:webHidden/>
                <w:sz w:val="24"/>
                <w:szCs w:val="24"/>
              </w:rPr>
              <w:fldChar w:fldCharType="end"/>
            </w:r>
          </w:hyperlink>
        </w:p>
        <w:p w14:paraId="4042E8F6" w14:textId="02DCECDD" w:rsidR="00BB5F5F" w:rsidRPr="003F5B5A" w:rsidRDefault="00D05A34" w:rsidP="00641776">
          <w:pPr>
            <w:pStyle w:val="TOC1"/>
            <w:tabs>
              <w:tab w:val="left" w:pos="440"/>
              <w:tab w:val="right" w:leader="dot" w:pos="9350"/>
            </w:tabs>
            <w:spacing w:line="240" w:lineRule="auto"/>
            <w:rPr>
              <w:rFonts w:ascii="Arial" w:hAnsi="Arial" w:cs="Arial"/>
              <w:noProof/>
              <w:sz w:val="24"/>
              <w:szCs w:val="24"/>
            </w:rPr>
          </w:pPr>
          <w:hyperlink w:anchor="_Toc36810841" w:history="1">
            <w:r w:rsidR="00BB5F5F" w:rsidRPr="003F5B5A">
              <w:rPr>
                <w:rStyle w:val="Hyperlink"/>
                <w:rFonts w:ascii="Arial" w:hAnsi="Arial" w:cs="Arial"/>
                <w:noProof/>
                <w:sz w:val="24"/>
                <w:szCs w:val="24"/>
              </w:rPr>
              <w:t>4.</w:t>
            </w:r>
            <w:r w:rsidR="00BB5F5F" w:rsidRPr="003F5B5A">
              <w:rPr>
                <w:rFonts w:ascii="Arial" w:hAnsi="Arial" w:cs="Arial"/>
                <w:noProof/>
                <w:sz w:val="24"/>
                <w:szCs w:val="24"/>
              </w:rPr>
              <w:tab/>
            </w:r>
            <w:r w:rsidR="00BB5F5F" w:rsidRPr="003F5B5A">
              <w:rPr>
                <w:rStyle w:val="Hyperlink"/>
                <w:rFonts w:ascii="Arial" w:hAnsi="Arial" w:cs="Arial"/>
                <w:noProof/>
                <w:sz w:val="24"/>
                <w:szCs w:val="24"/>
              </w:rPr>
              <w:t>Privacy of Information disclosed</w:t>
            </w:r>
            <w:r w:rsidR="00BB5F5F" w:rsidRPr="003F5B5A">
              <w:rPr>
                <w:rFonts w:ascii="Arial" w:hAnsi="Arial" w:cs="Arial"/>
                <w:noProof/>
                <w:webHidden/>
                <w:sz w:val="24"/>
                <w:szCs w:val="24"/>
              </w:rPr>
              <w:tab/>
            </w:r>
            <w:r w:rsidR="00BB5F5F" w:rsidRPr="003F5B5A">
              <w:rPr>
                <w:rFonts w:ascii="Arial" w:hAnsi="Arial" w:cs="Arial"/>
                <w:noProof/>
                <w:webHidden/>
                <w:sz w:val="24"/>
                <w:szCs w:val="24"/>
              </w:rPr>
              <w:fldChar w:fldCharType="begin"/>
            </w:r>
            <w:r w:rsidR="00BB5F5F" w:rsidRPr="003F5B5A">
              <w:rPr>
                <w:rFonts w:ascii="Arial" w:hAnsi="Arial" w:cs="Arial"/>
                <w:noProof/>
                <w:webHidden/>
                <w:sz w:val="24"/>
                <w:szCs w:val="24"/>
              </w:rPr>
              <w:instrText xml:space="preserve"> PAGEREF _Toc36810841 \h </w:instrText>
            </w:r>
            <w:r w:rsidR="00BB5F5F" w:rsidRPr="003F5B5A">
              <w:rPr>
                <w:rFonts w:ascii="Arial" w:hAnsi="Arial" w:cs="Arial"/>
                <w:noProof/>
                <w:webHidden/>
                <w:sz w:val="24"/>
                <w:szCs w:val="24"/>
              </w:rPr>
            </w:r>
            <w:r w:rsidR="00BB5F5F" w:rsidRPr="003F5B5A">
              <w:rPr>
                <w:rFonts w:ascii="Arial" w:hAnsi="Arial" w:cs="Arial"/>
                <w:noProof/>
                <w:webHidden/>
                <w:sz w:val="24"/>
                <w:szCs w:val="24"/>
              </w:rPr>
              <w:fldChar w:fldCharType="separate"/>
            </w:r>
            <w:r w:rsidR="00BB5F5F" w:rsidRPr="003F5B5A">
              <w:rPr>
                <w:rFonts w:ascii="Arial" w:hAnsi="Arial" w:cs="Arial"/>
                <w:noProof/>
                <w:webHidden/>
                <w:sz w:val="24"/>
                <w:szCs w:val="24"/>
              </w:rPr>
              <w:t>2</w:t>
            </w:r>
            <w:r w:rsidR="00BB5F5F" w:rsidRPr="003F5B5A">
              <w:rPr>
                <w:rFonts w:ascii="Arial" w:hAnsi="Arial" w:cs="Arial"/>
                <w:noProof/>
                <w:webHidden/>
                <w:sz w:val="24"/>
                <w:szCs w:val="24"/>
              </w:rPr>
              <w:fldChar w:fldCharType="end"/>
            </w:r>
          </w:hyperlink>
        </w:p>
        <w:p w14:paraId="61EFFB4F" w14:textId="1D5D8BFF" w:rsidR="00BB5F5F" w:rsidRPr="003F5B5A" w:rsidRDefault="00D05A34" w:rsidP="00641776">
          <w:pPr>
            <w:pStyle w:val="TOC1"/>
            <w:tabs>
              <w:tab w:val="left" w:pos="440"/>
              <w:tab w:val="right" w:leader="dot" w:pos="9350"/>
            </w:tabs>
            <w:spacing w:line="240" w:lineRule="auto"/>
            <w:rPr>
              <w:rFonts w:ascii="Arial" w:hAnsi="Arial" w:cs="Arial"/>
              <w:noProof/>
              <w:sz w:val="24"/>
              <w:szCs w:val="24"/>
            </w:rPr>
          </w:pPr>
          <w:hyperlink w:anchor="_Toc36810842" w:history="1">
            <w:r w:rsidR="00BB5F5F" w:rsidRPr="003F5B5A">
              <w:rPr>
                <w:rStyle w:val="Hyperlink"/>
                <w:rFonts w:ascii="Arial" w:hAnsi="Arial" w:cs="Arial"/>
                <w:noProof/>
                <w:sz w:val="24"/>
                <w:szCs w:val="24"/>
              </w:rPr>
              <w:t>5.</w:t>
            </w:r>
            <w:r w:rsidR="00BB5F5F" w:rsidRPr="003F5B5A">
              <w:rPr>
                <w:rFonts w:ascii="Arial" w:hAnsi="Arial" w:cs="Arial"/>
                <w:noProof/>
                <w:sz w:val="24"/>
                <w:szCs w:val="24"/>
              </w:rPr>
              <w:tab/>
            </w:r>
            <w:r w:rsidR="00BB5F5F" w:rsidRPr="003F5B5A">
              <w:rPr>
                <w:rStyle w:val="Hyperlink"/>
                <w:rFonts w:ascii="Arial" w:hAnsi="Arial" w:cs="Arial"/>
                <w:noProof/>
                <w:sz w:val="24"/>
                <w:szCs w:val="24"/>
              </w:rPr>
              <w:t>Subject-Level Dataset Data Dictionary with Example Values</w:t>
            </w:r>
            <w:r w:rsidR="00BB5F5F" w:rsidRPr="003F5B5A">
              <w:rPr>
                <w:rFonts w:ascii="Arial" w:hAnsi="Arial" w:cs="Arial"/>
                <w:noProof/>
                <w:webHidden/>
                <w:sz w:val="24"/>
                <w:szCs w:val="24"/>
              </w:rPr>
              <w:tab/>
            </w:r>
            <w:r w:rsidR="00BB5F5F" w:rsidRPr="003F5B5A">
              <w:rPr>
                <w:rFonts w:ascii="Arial" w:hAnsi="Arial" w:cs="Arial"/>
                <w:noProof/>
                <w:webHidden/>
                <w:sz w:val="24"/>
                <w:szCs w:val="24"/>
              </w:rPr>
              <w:fldChar w:fldCharType="begin"/>
            </w:r>
            <w:r w:rsidR="00BB5F5F" w:rsidRPr="003F5B5A">
              <w:rPr>
                <w:rFonts w:ascii="Arial" w:hAnsi="Arial" w:cs="Arial"/>
                <w:noProof/>
                <w:webHidden/>
                <w:sz w:val="24"/>
                <w:szCs w:val="24"/>
              </w:rPr>
              <w:instrText xml:space="preserve"> PAGEREF _Toc36810842 \h </w:instrText>
            </w:r>
            <w:r w:rsidR="00BB5F5F" w:rsidRPr="003F5B5A">
              <w:rPr>
                <w:rFonts w:ascii="Arial" w:hAnsi="Arial" w:cs="Arial"/>
                <w:noProof/>
                <w:webHidden/>
                <w:sz w:val="24"/>
                <w:szCs w:val="24"/>
              </w:rPr>
            </w:r>
            <w:r w:rsidR="00BB5F5F" w:rsidRPr="003F5B5A">
              <w:rPr>
                <w:rFonts w:ascii="Arial" w:hAnsi="Arial" w:cs="Arial"/>
                <w:noProof/>
                <w:webHidden/>
                <w:sz w:val="24"/>
                <w:szCs w:val="24"/>
              </w:rPr>
              <w:fldChar w:fldCharType="separate"/>
            </w:r>
            <w:r w:rsidR="00BB5F5F" w:rsidRPr="003F5B5A">
              <w:rPr>
                <w:rFonts w:ascii="Arial" w:hAnsi="Arial" w:cs="Arial"/>
                <w:noProof/>
                <w:webHidden/>
                <w:sz w:val="24"/>
                <w:szCs w:val="24"/>
              </w:rPr>
              <w:t>3</w:t>
            </w:r>
            <w:r w:rsidR="00BB5F5F" w:rsidRPr="003F5B5A">
              <w:rPr>
                <w:rFonts w:ascii="Arial" w:hAnsi="Arial" w:cs="Arial"/>
                <w:noProof/>
                <w:webHidden/>
                <w:sz w:val="24"/>
                <w:szCs w:val="24"/>
              </w:rPr>
              <w:fldChar w:fldCharType="end"/>
            </w:r>
          </w:hyperlink>
        </w:p>
        <w:p w14:paraId="0CD72FCF" w14:textId="28D07CD2" w:rsidR="00BB5F5F" w:rsidRPr="003F5B5A" w:rsidRDefault="00BB5F5F" w:rsidP="00641776">
          <w:pPr>
            <w:spacing w:line="240" w:lineRule="auto"/>
            <w:rPr>
              <w:rFonts w:ascii="Arial" w:hAnsi="Arial" w:cs="Arial"/>
              <w:sz w:val="24"/>
              <w:szCs w:val="24"/>
            </w:rPr>
          </w:pPr>
          <w:r w:rsidRPr="003F5B5A">
            <w:rPr>
              <w:rFonts w:ascii="Arial" w:hAnsi="Arial" w:cs="Arial"/>
              <w:b/>
              <w:bCs/>
              <w:noProof/>
              <w:sz w:val="24"/>
              <w:szCs w:val="24"/>
            </w:rPr>
            <w:fldChar w:fldCharType="end"/>
          </w:r>
        </w:p>
      </w:sdtContent>
    </w:sdt>
    <w:p w14:paraId="736B9E21" w14:textId="366373A0" w:rsidR="00BB5F5F" w:rsidRPr="003F5B5A" w:rsidRDefault="003F5B5A" w:rsidP="00641776">
      <w:pPr>
        <w:pStyle w:val="Heading1"/>
        <w:spacing w:line="240" w:lineRule="auto"/>
        <w:rPr>
          <w:rFonts w:cs="Arial"/>
          <w:sz w:val="24"/>
          <w:szCs w:val="24"/>
        </w:rPr>
      </w:pPr>
      <w:bookmarkStart w:id="0" w:name="_Toc36810838"/>
      <w:r w:rsidRPr="003F5B5A">
        <w:rPr>
          <w:rFonts w:cs="Arial"/>
          <w:sz w:val="24"/>
          <w:szCs w:val="24"/>
        </w:rPr>
        <w:t>O</w:t>
      </w:r>
      <w:r w:rsidR="00BB5F5F" w:rsidRPr="003F5B5A">
        <w:rPr>
          <w:rFonts w:cs="Arial"/>
          <w:sz w:val="24"/>
          <w:szCs w:val="24"/>
        </w:rPr>
        <w:t>verview</w:t>
      </w:r>
      <w:bookmarkEnd w:id="0"/>
      <w:r w:rsidR="00641776">
        <w:rPr>
          <w:rFonts w:cs="Arial"/>
          <w:sz w:val="24"/>
          <w:szCs w:val="24"/>
        </w:rPr>
        <w:t xml:space="preserve"> and abstract</w:t>
      </w:r>
    </w:p>
    <w:p w14:paraId="029E4EE7" w14:textId="77777777" w:rsidR="00BB5F5F" w:rsidRPr="003F5B5A" w:rsidRDefault="00BB5F5F" w:rsidP="00641776">
      <w:pPr>
        <w:autoSpaceDE w:val="0"/>
        <w:autoSpaceDN w:val="0"/>
        <w:adjustRightInd w:val="0"/>
        <w:spacing w:after="0" w:line="240" w:lineRule="auto"/>
        <w:rPr>
          <w:rFonts w:ascii="Arial" w:hAnsi="Arial" w:cs="Arial"/>
          <w:b/>
          <w:bCs/>
          <w:sz w:val="24"/>
          <w:szCs w:val="24"/>
        </w:rPr>
      </w:pPr>
    </w:p>
    <w:p w14:paraId="16FC4183" w14:textId="77777777" w:rsidR="00641776" w:rsidRDefault="00BB5F5F" w:rsidP="00641776">
      <w:pPr>
        <w:autoSpaceDE w:val="0"/>
        <w:autoSpaceDN w:val="0"/>
        <w:adjustRightInd w:val="0"/>
        <w:spacing w:after="0" w:line="240" w:lineRule="auto"/>
        <w:rPr>
          <w:rFonts w:ascii="Arial" w:hAnsi="Arial" w:cs="Arial"/>
          <w:sz w:val="24"/>
          <w:szCs w:val="24"/>
          <w:lang w:val="en-ZA"/>
        </w:rPr>
      </w:pPr>
      <w:r w:rsidRPr="003F5B5A">
        <w:rPr>
          <w:rFonts w:ascii="Arial" w:hAnsi="Arial" w:cs="Arial"/>
          <w:sz w:val="24"/>
          <w:szCs w:val="24"/>
        </w:rPr>
        <w:t xml:space="preserve">The </w:t>
      </w:r>
      <w:r w:rsidRPr="003F5B5A">
        <w:rPr>
          <w:rFonts w:ascii="Arial" w:hAnsi="Arial" w:cs="Arial"/>
          <w:b/>
          <w:bCs/>
          <w:sz w:val="24"/>
          <w:szCs w:val="24"/>
        </w:rPr>
        <w:t>CORTIS (Correlate of Risk Targeted Intervention Study)</w:t>
      </w:r>
      <w:r w:rsidRPr="003F5B5A">
        <w:rPr>
          <w:rFonts w:ascii="Arial" w:hAnsi="Arial" w:cs="Arial"/>
          <w:sz w:val="24"/>
          <w:szCs w:val="24"/>
        </w:rPr>
        <w:t xml:space="preserve"> was a randomized, partially-blinded clinical trial conducted to test for diagnostic and prognostic performance of the RISK11 biomarker for TB disease and evaluate the efficacy of Isoniazid and Rifapentine (3HP) therapy to prevent pulmonary tuberculosis in high-risk individuals identified based off the RISK11 biomarker status. </w:t>
      </w:r>
      <w:r w:rsidR="00641776" w:rsidRPr="003F5B5A">
        <w:rPr>
          <w:rFonts w:ascii="Arial" w:hAnsi="Arial" w:cs="Arial"/>
          <w:color w:val="000000"/>
          <w:sz w:val="24"/>
          <w:szCs w:val="24"/>
        </w:rPr>
        <w:t xml:space="preserve">The attached “ADSL.csv” is a public, subject-level dataset for the CORTIS-01 study containing key variables </w:t>
      </w:r>
      <w:r w:rsidR="00641776" w:rsidRPr="003F5B5A">
        <w:rPr>
          <w:rFonts w:ascii="Arial" w:hAnsi="Arial" w:cs="Arial"/>
          <w:sz w:val="24"/>
          <w:szCs w:val="24"/>
          <w:lang w:val="en-ZA"/>
        </w:rPr>
        <w:t>necessary to reconstruct the diagnostic, prognostic and treatment efficacy aims. A data dictionary is provided below.</w:t>
      </w:r>
    </w:p>
    <w:p w14:paraId="6669FFA0" w14:textId="77777777" w:rsidR="00641776" w:rsidRPr="003F5B5A" w:rsidRDefault="00641776" w:rsidP="00641776">
      <w:pPr>
        <w:autoSpaceDE w:val="0"/>
        <w:autoSpaceDN w:val="0"/>
        <w:adjustRightInd w:val="0"/>
        <w:spacing w:after="0" w:line="240" w:lineRule="auto"/>
        <w:rPr>
          <w:rFonts w:ascii="Arial" w:hAnsi="Arial" w:cs="Arial"/>
          <w:sz w:val="24"/>
          <w:szCs w:val="24"/>
          <w:lang w:val="en-ZA"/>
        </w:rPr>
      </w:pPr>
    </w:p>
    <w:p w14:paraId="0B809071" w14:textId="6F900B5D" w:rsidR="00641776" w:rsidRDefault="00641776" w:rsidP="00641776">
      <w:pPr>
        <w:autoSpaceDE w:val="0"/>
        <w:autoSpaceDN w:val="0"/>
        <w:adjustRightInd w:val="0"/>
        <w:spacing w:after="0" w:line="240" w:lineRule="auto"/>
        <w:rPr>
          <w:rFonts w:ascii="Arial" w:hAnsi="Arial" w:cs="Arial"/>
          <w:sz w:val="24"/>
          <w:szCs w:val="24"/>
          <w:lang w:val="en-ZA"/>
        </w:rPr>
      </w:pPr>
      <w:r w:rsidRPr="003F5B5A">
        <w:rPr>
          <w:rFonts w:ascii="Arial" w:hAnsi="Arial" w:cs="Arial"/>
          <w:sz w:val="24"/>
          <w:szCs w:val="24"/>
          <w:lang w:val="en-ZA"/>
        </w:rPr>
        <w:t>“CORTIS-01 Protocol Version 3.0.pdf” and “CORTIS-01 SAP Version 3.0.pdf” are the protocol and the statistical analysis plan for the study respectively and have been included for reference.</w:t>
      </w:r>
    </w:p>
    <w:p w14:paraId="0410D8D0" w14:textId="77777777" w:rsidR="00641776" w:rsidRPr="003F5B5A" w:rsidRDefault="00641776" w:rsidP="00641776">
      <w:pPr>
        <w:autoSpaceDE w:val="0"/>
        <w:autoSpaceDN w:val="0"/>
        <w:adjustRightInd w:val="0"/>
        <w:spacing w:after="0" w:line="240" w:lineRule="auto"/>
        <w:rPr>
          <w:rFonts w:ascii="Arial" w:hAnsi="Arial" w:cs="Arial"/>
          <w:sz w:val="24"/>
          <w:szCs w:val="24"/>
          <w:lang w:val="en-ZA"/>
        </w:rPr>
      </w:pPr>
    </w:p>
    <w:p w14:paraId="3E28D9AA" w14:textId="5004A367" w:rsidR="00641776" w:rsidRDefault="00641776" w:rsidP="00641776">
      <w:pPr>
        <w:autoSpaceDE w:val="0"/>
        <w:autoSpaceDN w:val="0"/>
        <w:adjustRightInd w:val="0"/>
        <w:spacing w:after="0" w:line="240" w:lineRule="auto"/>
        <w:rPr>
          <w:rFonts w:ascii="Arial" w:hAnsi="Arial" w:cs="Arial"/>
          <w:sz w:val="24"/>
          <w:szCs w:val="24"/>
        </w:rPr>
      </w:pPr>
      <w:r>
        <w:rPr>
          <w:rFonts w:ascii="Arial" w:hAnsi="Arial" w:cs="Arial"/>
          <w:sz w:val="24"/>
          <w:szCs w:val="24"/>
        </w:rPr>
        <w:t>The following is quoted from the abstract of the published manuscript:</w:t>
      </w:r>
    </w:p>
    <w:p w14:paraId="03E8DB6F" w14:textId="77777777" w:rsidR="00641776" w:rsidRDefault="00641776" w:rsidP="00641776">
      <w:pPr>
        <w:autoSpaceDE w:val="0"/>
        <w:autoSpaceDN w:val="0"/>
        <w:adjustRightInd w:val="0"/>
        <w:spacing w:after="0" w:line="240" w:lineRule="auto"/>
        <w:rPr>
          <w:rFonts w:ascii="Arial" w:hAnsi="Arial" w:cs="Arial"/>
          <w:sz w:val="24"/>
          <w:szCs w:val="24"/>
        </w:rPr>
      </w:pPr>
    </w:p>
    <w:p w14:paraId="4D0AC50B" w14:textId="7FEE9309" w:rsidR="00641776" w:rsidRPr="006D0EEA" w:rsidRDefault="00641776" w:rsidP="00641776">
      <w:pPr>
        <w:spacing w:line="240" w:lineRule="auto"/>
        <w:jc w:val="both"/>
        <w:rPr>
          <w:rFonts w:ascii="Arial" w:hAnsi="Arial" w:cs="Arial"/>
          <w:b/>
          <w:bCs/>
          <w:lang w:val="en-GB"/>
        </w:rPr>
      </w:pPr>
      <w:r>
        <w:rPr>
          <w:rFonts w:ascii="Arial" w:hAnsi="Arial" w:cs="Arial"/>
          <w:b/>
          <w:bCs/>
          <w:lang w:val="en-GB"/>
        </w:rPr>
        <w:t>Biomarker-guided tuberculosis preventive therapy (CORTIS): a randomised controlled trial</w:t>
      </w:r>
    </w:p>
    <w:p w14:paraId="04A63718" w14:textId="77777777" w:rsidR="00641776" w:rsidRPr="00641776" w:rsidRDefault="00641776" w:rsidP="00641776">
      <w:pPr>
        <w:spacing w:line="240" w:lineRule="auto"/>
        <w:jc w:val="both"/>
        <w:rPr>
          <w:rFonts w:ascii="Arial" w:hAnsi="Arial" w:cs="Arial"/>
          <w:sz w:val="18"/>
          <w:szCs w:val="18"/>
        </w:rPr>
      </w:pPr>
      <w:r w:rsidRPr="00641776">
        <w:rPr>
          <w:rFonts w:ascii="Arial" w:hAnsi="Arial" w:cs="Arial"/>
          <w:sz w:val="18"/>
          <w:szCs w:val="18"/>
        </w:rPr>
        <w:t>Thomas J. Scriba, PhD</w:t>
      </w:r>
      <w:r w:rsidRPr="00641776">
        <w:rPr>
          <w:rFonts w:ascii="Arial" w:hAnsi="Arial" w:cs="Arial"/>
          <w:sz w:val="18"/>
          <w:szCs w:val="18"/>
          <w:vertAlign w:val="superscript"/>
        </w:rPr>
        <w:t>1</w:t>
      </w:r>
      <w:r w:rsidRPr="00641776">
        <w:rPr>
          <w:rFonts w:ascii="Arial" w:hAnsi="Arial" w:cs="Arial"/>
          <w:sz w:val="18"/>
          <w:szCs w:val="18"/>
        </w:rPr>
        <w:t>*, Andrew Fiore-Gartland, PhD</w:t>
      </w:r>
      <w:r w:rsidRPr="00641776">
        <w:rPr>
          <w:rFonts w:ascii="Arial" w:hAnsi="Arial" w:cs="Arial"/>
          <w:sz w:val="18"/>
          <w:szCs w:val="18"/>
          <w:vertAlign w:val="superscript"/>
        </w:rPr>
        <w:t>2</w:t>
      </w:r>
      <w:r w:rsidRPr="00641776">
        <w:rPr>
          <w:rFonts w:ascii="Arial" w:hAnsi="Arial" w:cs="Arial"/>
          <w:sz w:val="18"/>
          <w:szCs w:val="18"/>
        </w:rPr>
        <w:t>*, Adam Penn-Nicholson, PhD</w:t>
      </w:r>
      <w:r w:rsidRPr="00641776">
        <w:rPr>
          <w:rFonts w:ascii="Arial" w:hAnsi="Arial" w:cs="Arial"/>
          <w:sz w:val="18"/>
          <w:szCs w:val="18"/>
          <w:vertAlign w:val="superscript"/>
        </w:rPr>
        <w:t>1</w:t>
      </w:r>
      <w:r w:rsidRPr="00641776">
        <w:rPr>
          <w:rFonts w:ascii="Arial" w:hAnsi="Arial" w:cs="Arial"/>
          <w:sz w:val="18"/>
          <w:szCs w:val="18"/>
        </w:rPr>
        <w:t>, Humphrey Mulenga, MPH</w:t>
      </w:r>
      <w:r w:rsidRPr="00641776">
        <w:rPr>
          <w:rFonts w:ascii="Arial" w:hAnsi="Arial" w:cs="Arial"/>
          <w:sz w:val="18"/>
          <w:szCs w:val="18"/>
          <w:vertAlign w:val="superscript"/>
        </w:rPr>
        <w:t>1</w:t>
      </w:r>
      <w:r w:rsidRPr="00641776">
        <w:rPr>
          <w:rFonts w:ascii="Arial" w:hAnsi="Arial" w:cs="Arial"/>
          <w:sz w:val="18"/>
          <w:szCs w:val="18"/>
        </w:rPr>
        <w:t xml:space="preserve">, Stanley Kimbung </w:t>
      </w:r>
      <w:proofErr w:type="spellStart"/>
      <w:r w:rsidRPr="00641776">
        <w:rPr>
          <w:rFonts w:ascii="Arial" w:hAnsi="Arial" w:cs="Arial"/>
          <w:sz w:val="18"/>
          <w:szCs w:val="18"/>
        </w:rPr>
        <w:t>Mbandi</w:t>
      </w:r>
      <w:proofErr w:type="spellEnd"/>
      <w:r w:rsidRPr="00641776">
        <w:rPr>
          <w:rFonts w:ascii="Arial" w:hAnsi="Arial" w:cs="Arial"/>
          <w:sz w:val="18"/>
          <w:szCs w:val="18"/>
        </w:rPr>
        <w:t>, PhD</w:t>
      </w:r>
      <w:r w:rsidRPr="00641776">
        <w:rPr>
          <w:rFonts w:ascii="Arial" w:hAnsi="Arial" w:cs="Arial"/>
          <w:sz w:val="18"/>
          <w:szCs w:val="18"/>
          <w:vertAlign w:val="superscript"/>
        </w:rPr>
        <w:t>1</w:t>
      </w:r>
      <w:r w:rsidRPr="00641776">
        <w:rPr>
          <w:rFonts w:ascii="Arial" w:hAnsi="Arial" w:cs="Arial"/>
          <w:sz w:val="18"/>
          <w:szCs w:val="18"/>
        </w:rPr>
        <w:t>, Bhavesh Borate, MS</w:t>
      </w:r>
      <w:r w:rsidRPr="00641776">
        <w:rPr>
          <w:rFonts w:ascii="Arial" w:hAnsi="Arial" w:cs="Arial"/>
          <w:sz w:val="18"/>
          <w:szCs w:val="18"/>
          <w:vertAlign w:val="superscript"/>
        </w:rPr>
        <w:t>2</w:t>
      </w:r>
      <w:r w:rsidRPr="00641776">
        <w:rPr>
          <w:rFonts w:ascii="Arial" w:hAnsi="Arial" w:cs="Arial"/>
          <w:sz w:val="18"/>
          <w:szCs w:val="18"/>
        </w:rPr>
        <w:t>, Simon C. Mendelsohn, MBChB</w:t>
      </w:r>
      <w:r w:rsidRPr="00641776">
        <w:rPr>
          <w:rFonts w:ascii="Arial" w:hAnsi="Arial" w:cs="Arial"/>
          <w:sz w:val="18"/>
          <w:szCs w:val="18"/>
          <w:vertAlign w:val="superscript"/>
        </w:rPr>
        <w:t>1</w:t>
      </w:r>
      <w:r w:rsidRPr="00641776">
        <w:rPr>
          <w:rFonts w:ascii="Arial" w:hAnsi="Arial" w:cs="Arial"/>
          <w:sz w:val="18"/>
          <w:szCs w:val="18"/>
        </w:rPr>
        <w:t>, Katie Hadley, PhD</w:t>
      </w:r>
      <w:r w:rsidRPr="00641776">
        <w:rPr>
          <w:rFonts w:ascii="Arial" w:hAnsi="Arial" w:cs="Arial"/>
          <w:sz w:val="18"/>
          <w:szCs w:val="18"/>
          <w:vertAlign w:val="superscript"/>
        </w:rPr>
        <w:t>1</w:t>
      </w:r>
      <w:r w:rsidRPr="00641776">
        <w:rPr>
          <w:rFonts w:ascii="Arial" w:hAnsi="Arial" w:cs="Arial"/>
          <w:sz w:val="18"/>
          <w:szCs w:val="18"/>
        </w:rPr>
        <w:t>, Chris Hikuam, PhD</w:t>
      </w:r>
      <w:r w:rsidRPr="00641776">
        <w:rPr>
          <w:rFonts w:ascii="Arial" w:hAnsi="Arial" w:cs="Arial"/>
          <w:sz w:val="18"/>
          <w:szCs w:val="18"/>
          <w:vertAlign w:val="superscript"/>
        </w:rPr>
        <w:t>1</w:t>
      </w:r>
      <w:r w:rsidRPr="00641776">
        <w:rPr>
          <w:rFonts w:ascii="Arial" w:hAnsi="Arial" w:cs="Arial"/>
          <w:sz w:val="18"/>
          <w:szCs w:val="18"/>
        </w:rPr>
        <w:t>, Masooda Kaskar, MBA</w:t>
      </w:r>
      <w:r w:rsidRPr="00641776">
        <w:rPr>
          <w:rFonts w:ascii="Arial" w:hAnsi="Arial" w:cs="Arial"/>
          <w:sz w:val="18"/>
          <w:szCs w:val="18"/>
          <w:vertAlign w:val="superscript"/>
        </w:rPr>
        <w:t>1</w:t>
      </w:r>
      <w:r w:rsidRPr="00641776">
        <w:rPr>
          <w:rFonts w:ascii="Arial" w:hAnsi="Arial" w:cs="Arial"/>
          <w:sz w:val="18"/>
          <w:szCs w:val="18"/>
        </w:rPr>
        <w:t>, Munyaradzi Musvosvi, PhD</w:t>
      </w:r>
      <w:r w:rsidRPr="00641776">
        <w:rPr>
          <w:rFonts w:ascii="Arial" w:hAnsi="Arial" w:cs="Arial"/>
          <w:sz w:val="18"/>
          <w:szCs w:val="18"/>
          <w:vertAlign w:val="superscript"/>
        </w:rPr>
        <w:t>1</w:t>
      </w:r>
      <w:r w:rsidRPr="00641776">
        <w:rPr>
          <w:rFonts w:ascii="Arial" w:hAnsi="Arial" w:cs="Arial"/>
          <w:sz w:val="18"/>
          <w:szCs w:val="18"/>
        </w:rPr>
        <w:t xml:space="preserve">, </w:t>
      </w:r>
      <w:r w:rsidRPr="00641776">
        <w:rPr>
          <w:rFonts w:ascii="Arial" w:hAnsi="Arial" w:cs="Arial"/>
          <w:color w:val="000000" w:themeColor="text1"/>
          <w:sz w:val="18"/>
          <w:szCs w:val="18"/>
        </w:rPr>
        <w:t>Nicole Bilek</w:t>
      </w:r>
      <w:r w:rsidRPr="00641776">
        <w:rPr>
          <w:rFonts w:ascii="Arial" w:hAnsi="Arial" w:cs="Arial"/>
          <w:sz w:val="18"/>
          <w:szCs w:val="18"/>
        </w:rPr>
        <w:t>, PhD</w:t>
      </w:r>
      <w:r w:rsidRPr="00641776">
        <w:rPr>
          <w:rFonts w:ascii="Arial" w:hAnsi="Arial" w:cs="Arial"/>
          <w:sz w:val="18"/>
          <w:szCs w:val="18"/>
          <w:vertAlign w:val="superscript"/>
        </w:rPr>
        <w:t>1</w:t>
      </w:r>
      <w:r w:rsidRPr="00641776">
        <w:rPr>
          <w:rFonts w:ascii="Arial" w:hAnsi="Arial" w:cs="Arial"/>
          <w:sz w:val="18"/>
          <w:szCs w:val="18"/>
        </w:rPr>
        <w:t>, Steven Self, PhD</w:t>
      </w:r>
      <w:r w:rsidRPr="00641776">
        <w:rPr>
          <w:rFonts w:ascii="Arial" w:hAnsi="Arial" w:cs="Arial"/>
          <w:sz w:val="18"/>
          <w:szCs w:val="18"/>
          <w:vertAlign w:val="superscript"/>
        </w:rPr>
        <w:t>2</w:t>
      </w:r>
      <w:r w:rsidRPr="00641776">
        <w:rPr>
          <w:rFonts w:ascii="Arial" w:hAnsi="Arial" w:cs="Arial"/>
          <w:sz w:val="18"/>
          <w:szCs w:val="18"/>
        </w:rPr>
        <w:t>, Tom Sumner, PhD</w:t>
      </w:r>
      <w:r w:rsidRPr="00641776">
        <w:rPr>
          <w:rFonts w:ascii="Arial" w:hAnsi="Arial" w:cs="Arial"/>
          <w:sz w:val="18"/>
          <w:szCs w:val="18"/>
          <w:vertAlign w:val="superscript"/>
        </w:rPr>
        <w:t>3</w:t>
      </w:r>
      <w:r w:rsidRPr="00641776">
        <w:rPr>
          <w:rFonts w:ascii="Arial" w:hAnsi="Arial" w:cs="Arial"/>
          <w:sz w:val="18"/>
          <w:szCs w:val="18"/>
        </w:rPr>
        <w:t>, Richard G. White, PhD</w:t>
      </w:r>
      <w:r w:rsidRPr="00641776">
        <w:rPr>
          <w:rFonts w:ascii="Arial" w:hAnsi="Arial" w:cs="Arial"/>
          <w:sz w:val="18"/>
          <w:szCs w:val="18"/>
          <w:vertAlign w:val="superscript"/>
        </w:rPr>
        <w:t>3</w:t>
      </w:r>
      <w:r w:rsidRPr="00641776">
        <w:rPr>
          <w:rFonts w:ascii="Arial" w:hAnsi="Arial" w:cs="Arial"/>
          <w:sz w:val="18"/>
          <w:szCs w:val="18"/>
        </w:rPr>
        <w:t>, Mzwandile Erasmus, MSc</w:t>
      </w:r>
      <w:r w:rsidRPr="00641776">
        <w:rPr>
          <w:rFonts w:ascii="Arial" w:hAnsi="Arial" w:cs="Arial"/>
          <w:sz w:val="18"/>
          <w:szCs w:val="18"/>
          <w:vertAlign w:val="superscript"/>
        </w:rPr>
        <w:t>1</w:t>
      </w:r>
      <w:r w:rsidRPr="00641776">
        <w:rPr>
          <w:rFonts w:ascii="Arial" w:hAnsi="Arial" w:cs="Arial"/>
          <w:sz w:val="18"/>
          <w:szCs w:val="18"/>
        </w:rPr>
        <w:t>, Lungisa Jaxa, BTech</w:t>
      </w:r>
      <w:r w:rsidRPr="00641776">
        <w:rPr>
          <w:rFonts w:ascii="Arial" w:hAnsi="Arial" w:cs="Arial"/>
          <w:sz w:val="18"/>
          <w:szCs w:val="18"/>
          <w:vertAlign w:val="superscript"/>
        </w:rPr>
        <w:t>1</w:t>
      </w:r>
      <w:r w:rsidRPr="00641776">
        <w:rPr>
          <w:rFonts w:ascii="Arial" w:hAnsi="Arial" w:cs="Arial"/>
          <w:sz w:val="18"/>
          <w:szCs w:val="18"/>
        </w:rPr>
        <w:t>, Rodney Raphela, BSc Honours</w:t>
      </w:r>
      <w:r w:rsidRPr="00641776">
        <w:rPr>
          <w:rFonts w:ascii="Arial" w:hAnsi="Arial" w:cs="Arial"/>
          <w:sz w:val="18"/>
          <w:szCs w:val="18"/>
          <w:vertAlign w:val="superscript"/>
        </w:rPr>
        <w:t>1</w:t>
      </w:r>
      <w:r w:rsidRPr="00641776">
        <w:rPr>
          <w:rFonts w:ascii="Arial" w:hAnsi="Arial" w:cs="Arial"/>
          <w:sz w:val="18"/>
          <w:szCs w:val="18"/>
        </w:rPr>
        <w:t>, Craig Innes, MBChB, MSc</w:t>
      </w:r>
      <w:r w:rsidRPr="00641776">
        <w:rPr>
          <w:rFonts w:ascii="Arial" w:hAnsi="Arial" w:cs="Arial"/>
          <w:sz w:val="18"/>
          <w:szCs w:val="18"/>
          <w:vertAlign w:val="superscript"/>
        </w:rPr>
        <w:t>4</w:t>
      </w:r>
      <w:r w:rsidRPr="00641776">
        <w:rPr>
          <w:rFonts w:ascii="Arial" w:hAnsi="Arial" w:cs="Arial"/>
          <w:sz w:val="18"/>
          <w:szCs w:val="18"/>
        </w:rPr>
        <w:t>, William Brumskine, MBChB</w:t>
      </w:r>
      <w:r w:rsidRPr="00641776">
        <w:rPr>
          <w:rFonts w:ascii="Arial" w:hAnsi="Arial" w:cs="Arial"/>
          <w:sz w:val="18"/>
          <w:szCs w:val="18"/>
          <w:vertAlign w:val="superscript"/>
        </w:rPr>
        <w:t>4</w:t>
      </w:r>
      <w:r w:rsidRPr="00641776">
        <w:rPr>
          <w:rFonts w:ascii="Arial" w:hAnsi="Arial" w:cs="Arial"/>
          <w:sz w:val="18"/>
          <w:szCs w:val="18"/>
        </w:rPr>
        <w:t xml:space="preserve">, </w:t>
      </w:r>
      <w:proofErr w:type="spellStart"/>
      <w:r w:rsidRPr="00641776">
        <w:rPr>
          <w:rFonts w:ascii="Arial" w:hAnsi="Arial" w:cs="Arial"/>
          <w:sz w:val="18"/>
          <w:szCs w:val="18"/>
        </w:rPr>
        <w:t>Andriëtte</w:t>
      </w:r>
      <w:proofErr w:type="spellEnd"/>
      <w:r w:rsidRPr="00641776">
        <w:rPr>
          <w:rFonts w:ascii="Arial" w:hAnsi="Arial" w:cs="Arial"/>
          <w:sz w:val="18"/>
          <w:szCs w:val="18"/>
        </w:rPr>
        <w:t xml:space="preserve"> Hiemstra, MBChB</w:t>
      </w:r>
      <w:r w:rsidRPr="00641776">
        <w:rPr>
          <w:rFonts w:ascii="Arial" w:hAnsi="Arial" w:cs="Arial"/>
          <w:sz w:val="18"/>
          <w:szCs w:val="18"/>
          <w:vertAlign w:val="superscript"/>
        </w:rPr>
        <w:t xml:space="preserve"> 5</w:t>
      </w:r>
      <w:r w:rsidRPr="00641776">
        <w:rPr>
          <w:rFonts w:ascii="Arial" w:hAnsi="Arial" w:cs="Arial"/>
          <w:sz w:val="18"/>
          <w:szCs w:val="18"/>
        </w:rPr>
        <w:t>, Stephanus T. Malherbe, MBChB</w:t>
      </w:r>
      <w:r w:rsidRPr="00641776">
        <w:rPr>
          <w:rFonts w:ascii="Arial" w:hAnsi="Arial" w:cs="Arial"/>
          <w:sz w:val="18"/>
          <w:szCs w:val="18"/>
          <w:vertAlign w:val="superscript"/>
        </w:rPr>
        <w:t>5</w:t>
      </w:r>
      <w:r w:rsidRPr="00641776">
        <w:rPr>
          <w:rFonts w:ascii="Arial" w:hAnsi="Arial" w:cs="Arial"/>
          <w:sz w:val="18"/>
          <w:szCs w:val="18"/>
        </w:rPr>
        <w:t>, Razia Hassan-</w:t>
      </w:r>
      <w:proofErr w:type="spellStart"/>
      <w:r w:rsidRPr="00641776">
        <w:rPr>
          <w:rFonts w:ascii="Arial" w:hAnsi="Arial" w:cs="Arial"/>
          <w:sz w:val="18"/>
          <w:szCs w:val="18"/>
        </w:rPr>
        <w:t>Moosa</w:t>
      </w:r>
      <w:proofErr w:type="spellEnd"/>
      <w:r w:rsidRPr="00641776">
        <w:rPr>
          <w:rFonts w:ascii="Arial" w:hAnsi="Arial" w:cs="Arial"/>
          <w:sz w:val="18"/>
          <w:szCs w:val="18"/>
        </w:rPr>
        <w:t>, MPH</w:t>
      </w:r>
      <w:r w:rsidRPr="00641776">
        <w:rPr>
          <w:rFonts w:ascii="Arial" w:hAnsi="Arial" w:cs="Arial"/>
          <w:sz w:val="18"/>
          <w:szCs w:val="18"/>
          <w:vertAlign w:val="superscript"/>
        </w:rPr>
        <w:t>6,7</w:t>
      </w:r>
      <w:r w:rsidRPr="00641776">
        <w:rPr>
          <w:rFonts w:ascii="Arial" w:hAnsi="Arial" w:cs="Arial"/>
          <w:sz w:val="18"/>
          <w:szCs w:val="18"/>
        </w:rPr>
        <w:t>, Michèle Tameris, MBChB</w:t>
      </w:r>
      <w:r w:rsidRPr="00641776">
        <w:rPr>
          <w:rFonts w:ascii="Arial" w:hAnsi="Arial" w:cs="Arial"/>
          <w:sz w:val="18"/>
          <w:szCs w:val="18"/>
          <w:vertAlign w:val="superscript"/>
        </w:rPr>
        <w:t>1</w:t>
      </w:r>
      <w:r w:rsidRPr="00641776">
        <w:rPr>
          <w:rFonts w:ascii="Arial" w:hAnsi="Arial" w:cs="Arial"/>
          <w:sz w:val="18"/>
          <w:szCs w:val="18"/>
        </w:rPr>
        <w:t xml:space="preserve">, Gerhard </w:t>
      </w:r>
      <w:proofErr w:type="spellStart"/>
      <w:r w:rsidRPr="00641776">
        <w:rPr>
          <w:rFonts w:ascii="Arial" w:hAnsi="Arial" w:cs="Arial"/>
          <w:sz w:val="18"/>
          <w:szCs w:val="18"/>
        </w:rPr>
        <w:t>Walzl</w:t>
      </w:r>
      <w:proofErr w:type="spellEnd"/>
      <w:r w:rsidRPr="00641776">
        <w:rPr>
          <w:rFonts w:ascii="Arial" w:hAnsi="Arial" w:cs="Arial"/>
          <w:sz w:val="18"/>
          <w:szCs w:val="18"/>
        </w:rPr>
        <w:t>, MBChB</w:t>
      </w:r>
      <w:r w:rsidRPr="00641776">
        <w:rPr>
          <w:rFonts w:ascii="Arial" w:hAnsi="Arial" w:cs="Arial"/>
          <w:sz w:val="18"/>
          <w:szCs w:val="18"/>
          <w:vertAlign w:val="superscript"/>
        </w:rPr>
        <w:t>5</w:t>
      </w:r>
      <w:r w:rsidRPr="00641776">
        <w:rPr>
          <w:rFonts w:ascii="Arial" w:hAnsi="Arial" w:cs="Arial"/>
          <w:sz w:val="18"/>
          <w:szCs w:val="18"/>
        </w:rPr>
        <w:t xml:space="preserve">, </w:t>
      </w:r>
      <w:proofErr w:type="spellStart"/>
      <w:r w:rsidRPr="00641776">
        <w:rPr>
          <w:rFonts w:ascii="Arial" w:hAnsi="Arial" w:cs="Arial"/>
          <w:sz w:val="18"/>
          <w:szCs w:val="18"/>
        </w:rPr>
        <w:t>Kogieleum</w:t>
      </w:r>
      <w:proofErr w:type="spellEnd"/>
      <w:r w:rsidRPr="00641776">
        <w:rPr>
          <w:rFonts w:ascii="Arial" w:hAnsi="Arial" w:cs="Arial"/>
          <w:sz w:val="18"/>
          <w:szCs w:val="18"/>
        </w:rPr>
        <w:t xml:space="preserve"> Naidoo, PhD</w:t>
      </w:r>
      <w:r w:rsidRPr="00641776">
        <w:rPr>
          <w:rFonts w:ascii="Arial" w:hAnsi="Arial" w:cs="Arial"/>
          <w:sz w:val="18"/>
          <w:szCs w:val="18"/>
          <w:vertAlign w:val="superscript"/>
        </w:rPr>
        <w:t>6,7</w:t>
      </w:r>
      <w:r w:rsidRPr="00641776">
        <w:rPr>
          <w:rFonts w:ascii="Arial" w:hAnsi="Arial" w:cs="Arial"/>
          <w:sz w:val="18"/>
          <w:szCs w:val="18"/>
        </w:rPr>
        <w:t>, Gavin Churchyard, MBBCh</w:t>
      </w:r>
      <w:r w:rsidRPr="00641776">
        <w:rPr>
          <w:rFonts w:ascii="Arial" w:hAnsi="Arial" w:cs="Arial"/>
          <w:sz w:val="18"/>
          <w:szCs w:val="18"/>
          <w:vertAlign w:val="superscript"/>
        </w:rPr>
        <w:t>4,8</w:t>
      </w:r>
      <w:r w:rsidRPr="00641776">
        <w:rPr>
          <w:rFonts w:ascii="Arial" w:hAnsi="Arial" w:cs="Arial"/>
          <w:sz w:val="18"/>
          <w:szCs w:val="18"/>
        </w:rPr>
        <w:t>, Mark Hatherill, MD</w:t>
      </w:r>
      <w:r w:rsidRPr="00641776">
        <w:rPr>
          <w:rFonts w:ascii="Arial" w:hAnsi="Arial" w:cs="Arial"/>
          <w:sz w:val="18"/>
          <w:szCs w:val="18"/>
          <w:vertAlign w:val="superscript"/>
        </w:rPr>
        <w:t>1</w:t>
      </w:r>
      <w:r w:rsidRPr="00641776">
        <w:rPr>
          <w:rFonts w:ascii="Arial" w:hAnsi="Arial" w:cs="Arial"/>
          <w:sz w:val="18"/>
          <w:szCs w:val="18"/>
        </w:rPr>
        <w:t>, and the CORTIS-01 Study Team.</w:t>
      </w:r>
    </w:p>
    <w:p w14:paraId="779C58F3" w14:textId="77777777" w:rsidR="00641776" w:rsidRPr="00641776" w:rsidRDefault="00641776" w:rsidP="00641776">
      <w:pPr>
        <w:spacing w:line="240" w:lineRule="auto"/>
        <w:jc w:val="both"/>
        <w:rPr>
          <w:rFonts w:ascii="Arial" w:hAnsi="Arial" w:cs="Arial"/>
          <w:sz w:val="18"/>
          <w:szCs w:val="18"/>
          <w:lang w:val="en-GB"/>
        </w:rPr>
      </w:pPr>
      <w:r w:rsidRPr="00641776">
        <w:rPr>
          <w:rFonts w:ascii="Arial" w:hAnsi="Arial" w:cs="Arial"/>
          <w:sz w:val="18"/>
          <w:szCs w:val="18"/>
          <w:lang w:val="en-GB"/>
        </w:rPr>
        <w:t>*TJS and AF-G contributed equally</w:t>
      </w:r>
    </w:p>
    <w:p w14:paraId="440D5C30" w14:textId="77777777" w:rsidR="00641776" w:rsidRPr="00641776" w:rsidRDefault="00641776" w:rsidP="00641776">
      <w:pPr>
        <w:spacing w:line="240" w:lineRule="auto"/>
        <w:jc w:val="both"/>
        <w:rPr>
          <w:rFonts w:ascii="Arial" w:hAnsi="Arial" w:cs="Arial"/>
          <w:sz w:val="18"/>
          <w:szCs w:val="18"/>
          <w:lang w:val="en-GB"/>
        </w:rPr>
      </w:pPr>
    </w:p>
    <w:p w14:paraId="4F96654B" w14:textId="77777777" w:rsidR="00641776" w:rsidRPr="00641776" w:rsidRDefault="00641776" w:rsidP="00641776">
      <w:pPr>
        <w:autoSpaceDE w:val="0"/>
        <w:autoSpaceDN w:val="0"/>
        <w:adjustRightInd w:val="0"/>
        <w:spacing w:line="240" w:lineRule="auto"/>
        <w:rPr>
          <w:rFonts w:ascii="Calibri" w:hAnsi="Calibri" w:cs="Calibri"/>
          <w:sz w:val="18"/>
          <w:szCs w:val="18"/>
          <w:lang w:val="en-GB"/>
        </w:rPr>
      </w:pPr>
      <w:r w:rsidRPr="00641776">
        <w:rPr>
          <w:rFonts w:ascii="Arial" w:hAnsi="Arial" w:cs="Arial"/>
          <w:sz w:val="18"/>
          <w:szCs w:val="18"/>
          <w:vertAlign w:val="superscript"/>
          <w:lang w:val="en-GB"/>
        </w:rPr>
        <w:t xml:space="preserve">1 </w:t>
      </w:r>
      <w:r w:rsidRPr="00641776">
        <w:rPr>
          <w:rFonts w:ascii="Arial" w:hAnsi="Arial" w:cs="Arial"/>
          <w:sz w:val="18"/>
          <w:szCs w:val="18"/>
          <w:lang w:val="en-GB"/>
        </w:rPr>
        <w:t>South African Tuberculosis Vaccine Initiative, Institute of Infectious Disease and Molecular Medicine, Division of Immunology, Department of Pathology, University of Cape Town, Anzio Road, Observatory, 7925, South Africa.</w:t>
      </w:r>
    </w:p>
    <w:p w14:paraId="57B8CF80" w14:textId="77777777" w:rsidR="00641776" w:rsidRPr="00641776" w:rsidRDefault="00641776" w:rsidP="00641776">
      <w:pPr>
        <w:autoSpaceDE w:val="0"/>
        <w:autoSpaceDN w:val="0"/>
        <w:adjustRightInd w:val="0"/>
        <w:spacing w:line="240" w:lineRule="auto"/>
        <w:rPr>
          <w:rFonts w:ascii="Calibri" w:hAnsi="Calibri" w:cs="Calibri"/>
          <w:sz w:val="18"/>
          <w:szCs w:val="18"/>
          <w:lang w:val="en-GB"/>
        </w:rPr>
      </w:pPr>
      <w:r w:rsidRPr="00641776">
        <w:rPr>
          <w:rFonts w:ascii="Arial" w:hAnsi="Arial" w:cs="Arial"/>
          <w:sz w:val="18"/>
          <w:szCs w:val="18"/>
          <w:vertAlign w:val="superscript"/>
          <w:lang w:val="en-GB"/>
        </w:rPr>
        <w:t xml:space="preserve">2 </w:t>
      </w:r>
      <w:r w:rsidRPr="00641776">
        <w:rPr>
          <w:rFonts w:ascii="Arial" w:hAnsi="Arial" w:cs="Arial"/>
          <w:sz w:val="18"/>
          <w:szCs w:val="18"/>
          <w:lang w:val="en-GB"/>
        </w:rPr>
        <w:t xml:space="preserve">Vaccine and Infectious Disease Division, Fred Hutchinson Cancer Research </w:t>
      </w:r>
      <w:proofErr w:type="spellStart"/>
      <w:r w:rsidRPr="00641776">
        <w:rPr>
          <w:rFonts w:ascii="Arial" w:hAnsi="Arial" w:cs="Arial"/>
          <w:sz w:val="18"/>
          <w:szCs w:val="18"/>
          <w:lang w:val="en-GB"/>
        </w:rPr>
        <w:t>Center</w:t>
      </w:r>
      <w:proofErr w:type="spellEnd"/>
      <w:r w:rsidRPr="00641776">
        <w:rPr>
          <w:rFonts w:ascii="Arial" w:hAnsi="Arial" w:cs="Arial"/>
          <w:sz w:val="18"/>
          <w:szCs w:val="18"/>
          <w:lang w:val="en-GB"/>
        </w:rPr>
        <w:t>, Fairview Ave. N., Seattle, WA 98109-1024, USA.</w:t>
      </w:r>
    </w:p>
    <w:p w14:paraId="67FD58DC" w14:textId="77777777" w:rsidR="00641776" w:rsidRPr="00641776" w:rsidRDefault="00641776" w:rsidP="00641776">
      <w:pPr>
        <w:autoSpaceDE w:val="0"/>
        <w:autoSpaceDN w:val="0"/>
        <w:adjustRightInd w:val="0"/>
        <w:spacing w:line="240" w:lineRule="auto"/>
        <w:rPr>
          <w:rFonts w:ascii="Calibri" w:hAnsi="Calibri" w:cs="Calibri"/>
          <w:sz w:val="18"/>
          <w:szCs w:val="18"/>
          <w:lang w:val="en-GB"/>
        </w:rPr>
      </w:pPr>
      <w:r w:rsidRPr="00641776">
        <w:rPr>
          <w:rFonts w:ascii="Arial" w:hAnsi="Arial" w:cs="Arial"/>
          <w:sz w:val="18"/>
          <w:szCs w:val="18"/>
          <w:vertAlign w:val="superscript"/>
          <w:lang w:val="en-GB"/>
        </w:rPr>
        <w:t xml:space="preserve">3 </w:t>
      </w:r>
      <w:r w:rsidRPr="00641776">
        <w:rPr>
          <w:rFonts w:ascii="Arial" w:hAnsi="Arial" w:cs="Arial"/>
          <w:sz w:val="18"/>
          <w:szCs w:val="18"/>
          <w:lang w:val="en-GB"/>
        </w:rPr>
        <w:t>TB Modelling Group, TB Centre, Centre for Mathematical Modelling of Infectious Diseases, Department of Infectious Disease Epidemiology, London School of Hygiene &amp; Tropical Medicine, Keppel St, Bloomsbury, London WC1E 7HT, United Kingdom.</w:t>
      </w:r>
    </w:p>
    <w:p w14:paraId="7D46D752" w14:textId="77777777" w:rsidR="00641776" w:rsidRPr="00641776" w:rsidRDefault="00641776" w:rsidP="00641776">
      <w:pPr>
        <w:autoSpaceDE w:val="0"/>
        <w:autoSpaceDN w:val="0"/>
        <w:adjustRightInd w:val="0"/>
        <w:spacing w:line="240" w:lineRule="auto"/>
        <w:rPr>
          <w:rFonts w:ascii="Calibri" w:hAnsi="Calibri" w:cs="Calibri"/>
          <w:sz w:val="18"/>
          <w:szCs w:val="18"/>
          <w:lang w:val="en-GB"/>
        </w:rPr>
      </w:pPr>
      <w:r w:rsidRPr="00641776">
        <w:rPr>
          <w:rFonts w:ascii="Arial" w:hAnsi="Arial" w:cs="Arial"/>
          <w:sz w:val="18"/>
          <w:szCs w:val="18"/>
          <w:vertAlign w:val="superscript"/>
          <w:lang w:val="en-GB"/>
        </w:rPr>
        <w:t xml:space="preserve">4 </w:t>
      </w:r>
      <w:r w:rsidRPr="00641776">
        <w:rPr>
          <w:rFonts w:ascii="Arial" w:hAnsi="Arial" w:cs="Arial"/>
          <w:sz w:val="18"/>
          <w:szCs w:val="18"/>
          <w:lang w:val="en-GB"/>
        </w:rPr>
        <w:t xml:space="preserve">The </w:t>
      </w:r>
      <w:proofErr w:type="spellStart"/>
      <w:r w:rsidRPr="00641776">
        <w:rPr>
          <w:rFonts w:ascii="Arial" w:hAnsi="Arial" w:cs="Arial"/>
          <w:sz w:val="18"/>
          <w:szCs w:val="18"/>
          <w:lang w:val="en-GB"/>
        </w:rPr>
        <w:t>Aurum</w:t>
      </w:r>
      <w:proofErr w:type="spellEnd"/>
      <w:r w:rsidRPr="00641776">
        <w:rPr>
          <w:rFonts w:ascii="Arial" w:hAnsi="Arial" w:cs="Arial"/>
          <w:sz w:val="18"/>
          <w:szCs w:val="18"/>
          <w:lang w:val="en-GB"/>
        </w:rPr>
        <w:t xml:space="preserve"> Institute, 29 Queens Rd, Parktown, Johannesburg, 2194, Gauteng, South Africa.</w:t>
      </w:r>
    </w:p>
    <w:p w14:paraId="21BF581B" w14:textId="77777777" w:rsidR="00641776" w:rsidRPr="00641776" w:rsidRDefault="00641776" w:rsidP="00641776">
      <w:pPr>
        <w:autoSpaceDE w:val="0"/>
        <w:autoSpaceDN w:val="0"/>
        <w:adjustRightInd w:val="0"/>
        <w:spacing w:line="240" w:lineRule="auto"/>
        <w:rPr>
          <w:rFonts w:ascii="Calibri" w:hAnsi="Calibri" w:cs="Calibri"/>
          <w:sz w:val="18"/>
          <w:szCs w:val="18"/>
          <w:lang w:val="en-GB"/>
        </w:rPr>
      </w:pPr>
      <w:r w:rsidRPr="00641776">
        <w:rPr>
          <w:rFonts w:ascii="Arial" w:hAnsi="Arial" w:cs="Arial"/>
          <w:sz w:val="18"/>
          <w:szCs w:val="18"/>
          <w:vertAlign w:val="superscript"/>
          <w:lang w:val="en-GB"/>
        </w:rPr>
        <w:lastRenderedPageBreak/>
        <w:t xml:space="preserve">5 </w:t>
      </w:r>
      <w:r w:rsidRPr="00641776">
        <w:rPr>
          <w:rFonts w:ascii="Arial" w:hAnsi="Arial" w:cs="Arial"/>
          <w:sz w:val="18"/>
          <w:szCs w:val="18"/>
          <w:lang w:val="en-GB"/>
        </w:rPr>
        <w:t>DST/NRF Centre of Excellence for Biomedical TB Research and SAMRC Centre for TB Research, Division of Molecular Biology and Human Genetics, Department of</w:t>
      </w:r>
    </w:p>
    <w:p w14:paraId="44A3CC44" w14:textId="77777777" w:rsidR="00641776" w:rsidRPr="00641776" w:rsidRDefault="00641776" w:rsidP="00641776">
      <w:pPr>
        <w:autoSpaceDE w:val="0"/>
        <w:autoSpaceDN w:val="0"/>
        <w:adjustRightInd w:val="0"/>
        <w:spacing w:line="240" w:lineRule="auto"/>
        <w:jc w:val="both"/>
        <w:rPr>
          <w:rFonts w:ascii="Calibri" w:hAnsi="Calibri" w:cs="Calibri"/>
          <w:sz w:val="18"/>
          <w:szCs w:val="18"/>
          <w:lang w:val="en-GB"/>
        </w:rPr>
      </w:pPr>
      <w:r w:rsidRPr="00641776">
        <w:rPr>
          <w:rFonts w:ascii="Arial" w:hAnsi="Arial" w:cs="Arial"/>
          <w:sz w:val="18"/>
          <w:szCs w:val="18"/>
          <w:lang w:val="en-GB"/>
        </w:rPr>
        <w:t xml:space="preserve">Biomedical Sciences, Faculty of Medicine and Health Sciences, Stellenbosch University, Francie Van </w:t>
      </w:r>
      <w:proofErr w:type="spellStart"/>
      <w:r w:rsidRPr="00641776">
        <w:rPr>
          <w:rFonts w:ascii="Arial" w:hAnsi="Arial" w:cs="Arial"/>
          <w:sz w:val="18"/>
          <w:szCs w:val="18"/>
          <w:lang w:val="en-GB"/>
        </w:rPr>
        <w:t>Zijl</w:t>
      </w:r>
      <w:proofErr w:type="spellEnd"/>
      <w:r w:rsidRPr="00641776">
        <w:rPr>
          <w:rFonts w:ascii="Arial" w:hAnsi="Arial" w:cs="Arial"/>
          <w:sz w:val="18"/>
          <w:szCs w:val="18"/>
          <w:lang w:val="en-GB"/>
        </w:rPr>
        <w:t xml:space="preserve"> Dr, Parow, 7505, South Africa.</w:t>
      </w:r>
    </w:p>
    <w:p w14:paraId="5AE018FB" w14:textId="77777777" w:rsidR="00641776" w:rsidRPr="00641776" w:rsidRDefault="00641776" w:rsidP="00641776">
      <w:pPr>
        <w:autoSpaceDE w:val="0"/>
        <w:autoSpaceDN w:val="0"/>
        <w:adjustRightInd w:val="0"/>
        <w:spacing w:line="240" w:lineRule="auto"/>
        <w:rPr>
          <w:rFonts w:ascii="Calibri" w:hAnsi="Calibri" w:cs="Calibri"/>
          <w:sz w:val="18"/>
          <w:szCs w:val="18"/>
          <w:lang w:val="en-GB"/>
        </w:rPr>
      </w:pPr>
      <w:r w:rsidRPr="00641776">
        <w:rPr>
          <w:rFonts w:ascii="Arial" w:hAnsi="Arial" w:cs="Arial"/>
          <w:sz w:val="18"/>
          <w:szCs w:val="18"/>
          <w:vertAlign w:val="superscript"/>
          <w:lang w:val="en-GB"/>
        </w:rPr>
        <w:t xml:space="preserve">6 </w:t>
      </w:r>
      <w:r w:rsidRPr="00641776">
        <w:rPr>
          <w:rFonts w:ascii="Arial" w:hAnsi="Arial" w:cs="Arial"/>
          <w:sz w:val="18"/>
          <w:szCs w:val="18"/>
          <w:lang w:val="en-GB"/>
        </w:rPr>
        <w:t xml:space="preserve">Centre for the AIDS Programme of Research in South Africa (CAPRISA), Durban, Medical Research Council-CAPRISA HIV-TB Pathogenesis and Treatment Research Unit, Doris Duke Medical Research Institute, University of KwaZulu-Natal, 719 </w:t>
      </w:r>
      <w:proofErr w:type="spellStart"/>
      <w:r w:rsidRPr="00641776">
        <w:rPr>
          <w:rFonts w:ascii="Arial" w:hAnsi="Arial" w:cs="Arial"/>
          <w:sz w:val="18"/>
          <w:szCs w:val="18"/>
          <w:lang w:val="en-GB"/>
        </w:rPr>
        <w:t>Umbilo</w:t>
      </w:r>
      <w:proofErr w:type="spellEnd"/>
      <w:r w:rsidRPr="00641776">
        <w:rPr>
          <w:rFonts w:ascii="Arial" w:hAnsi="Arial" w:cs="Arial"/>
          <w:sz w:val="18"/>
          <w:szCs w:val="18"/>
          <w:lang w:val="en-GB"/>
        </w:rPr>
        <w:t xml:space="preserve"> Road, Durban 4001, South Africa.</w:t>
      </w:r>
    </w:p>
    <w:p w14:paraId="622B2B93" w14:textId="77777777" w:rsidR="00641776" w:rsidRPr="00641776" w:rsidRDefault="00641776" w:rsidP="00641776">
      <w:pPr>
        <w:autoSpaceDE w:val="0"/>
        <w:autoSpaceDN w:val="0"/>
        <w:adjustRightInd w:val="0"/>
        <w:spacing w:line="240" w:lineRule="auto"/>
        <w:rPr>
          <w:rFonts w:ascii="Calibri" w:hAnsi="Calibri" w:cs="Calibri"/>
          <w:sz w:val="18"/>
          <w:szCs w:val="18"/>
          <w:lang w:val="en-GB"/>
        </w:rPr>
      </w:pPr>
      <w:r w:rsidRPr="00641776">
        <w:rPr>
          <w:rFonts w:ascii="Arial" w:hAnsi="Arial" w:cs="Arial"/>
          <w:sz w:val="18"/>
          <w:szCs w:val="18"/>
          <w:vertAlign w:val="superscript"/>
          <w:lang w:val="en-GB"/>
        </w:rPr>
        <w:t xml:space="preserve">7 </w:t>
      </w:r>
      <w:r w:rsidRPr="00641776">
        <w:rPr>
          <w:rFonts w:ascii="Arial" w:hAnsi="Arial" w:cs="Arial"/>
          <w:sz w:val="18"/>
          <w:szCs w:val="18"/>
          <w:lang w:val="en-GB"/>
        </w:rPr>
        <w:t xml:space="preserve">MRC-CAPRISA HIV-TB Pathogenesis and Treatment Research Unit, Doris Duke Medical Research Institute, University of KwaZulu-Natal, 719 </w:t>
      </w:r>
      <w:proofErr w:type="spellStart"/>
      <w:r w:rsidRPr="00641776">
        <w:rPr>
          <w:rFonts w:ascii="Arial" w:hAnsi="Arial" w:cs="Arial"/>
          <w:sz w:val="18"/>
          <w:szCs w:val="18"/>
          <w:lang w:val="en-GB"/>
        </w:rPr>
        <w:t>Umbilo</w:t>
      </w:r>
      <w:proofErr w:type="spellEnd"/>
      <w:r w:rsidRPr="00641776">
        <w:rPr>
          <w:rFonts w:ascii="Arial" w:hAnsi="Arial" w:cs="Arial"/>
          <w:sz w:val="18"/>
          <w:szCs w:val="18"/>
          <w:lang w:val="en-GB"/>
        </w:rPr>
        <w:t xml:space="preserve"> Road, Durban 4001, South Africa.</w:t>
      </w:r>
    </w:p>
    <w:p w14:paraId="2D3390CD" w14:textId="77777777" w:rsidR="00641776" w:rsidRPr="00641776" w:rsidRDefault="00641776" w:rsidP="00641776">
      <w:pPr>
        <w:spacing w:line="240" w:lineRule="auto"/>
        <w:jc w:val="both"/>
        <w:rPr>
          <w:rFonts w:ascii="Arial" w:hAnsi="Arial" w:cs="Arial"/>
          <w:sz w:val="18"/>
          <w:szCs w:val="18"/>
          <w:lang w:val="en-GB"/>
        </w:rPr>
      </w:pPr>
      <w:r w:rsidRPr="00641776">
        <w:rPr>
          <w:rFonts w:ascii="Arial" w:hAnsi="Arial" w:cs="Arial"/>
          <w:sz w:val="18"/>
          <w:szCs w:val="18"/>
          <w:vertAlign w:val="superscript"/>
          <w:lang w:val="en-GB"/>
        </w:rPr>
        <w:t xml:space="preserve">8 </w:t>
      </w:r>
      <w:r w:rsidRPr="00641776">
        <w:rPr>
          <w:rFonts w:ascii="Arial" w:hAnsi="Arial" w:cs="Arial"/>
          <w:sz w:val="18"/>
          <w:szCs w:val="18"/>
          <w:lang w:val="en-GB"/>
        </w:rPr>
        <w:t>School of Public Health, University of Witwatersrand, 27 St Andrews Road, Parktown 2193, Johannesburg, South Africa.</w:t>
      </w:r>
    </w:p>
    <w:p w14:paraId="2E46DF9E" w14:textId="77777777" w:rsidR="00641776" w:rsidRDefault="00641776" w:rsidP="00641776">
      <w:pPr>
        <w:spacing w:line="240" w:lineRule="auto"/>
        <w:jc w:val="both"/>
        <w:rPr>
          <w:rFonts w:ascii="Arial" w:hAnsi="Arial" w:cs="Arial"/>
          <w:lang w:val="en-GB"/>
        </w:rPr>
      </w:pPr>
    </w:p>
    <w:p w14:paraId="50916CC6" w14:textId="77777777" w:rsidR="00641776" w:rsidRPr="006D0EEA" w:rsidRDefault="00641776" w:rsidP="00641776">
      <w:pPr>
        <w:spacing w:line="240" w:lineRule="auto"/>
        <w:rPr>
          <w:rFonts w:ascii="Arial" w:hAnsi="Arial" w:cs="Arial"/>
          <w:b/>
          <w:bCs/>
          <w:lang w:val="en-GB"/>
        </w:rPr>
      </w:pPr>
      <w:r w:rsidRPr="006D0EEA">
        <w:rPr>
          <w:rFonts w:ascii="Arial" w:hAnsi="Arial" w:cs="Arial"/>
          <w:b/>
          <w:bCs/>
          <w:lang w:val="en-GB"/>
        </w:rPr>
        <w:t>Abstract</w:t>
      </w:r>
    </w:p>
    <w:p w14:paraId="7606D3F9" w14:textId="77777777" w:rsidR="00641776" w:rsidRPr="006D0EEA" w:rsidRDefault="00641776" w:rsidP="00641776">
      <w:pPr>
        <w:pStyle w:val="ListParagraph"/>
        <w:ind w:left="0"/>
        <w:jc w:val="both"/>
        <w:rPr>
          <w:rFonts w:ascii="Arial" w:hAnsi="Arial" w:cs="Arial"/>
          <w:b/>
          <w:bCs/>
          <w:sz w:val="22"/>
          <w:szCs w:val="22"/>
          <w:lang w:val="en-GB"/>
        </w:rPr>
      </w:pPr>
      <w:r w:rsidRPr="006D0EEA">
        <w:rPr>
          <w:rFonts w:ascii="Arial" w:hAnsi="Arial" w:cs="Arial"/>
          <w:b/>
          <w:bCs/>
          <w:sz w:val="22"/>
          <w:szCs w:val="22"/>
          <w:lang w:val="en-GB"/>
        </w:rPr>
        <w:t>Background</w:t>
      </w:r>
    </w:p>
    <w:p w14:paraId="7EFEF4CF" w14:textId="77777777" w:rsidR="00641776" w:rsidRPr="006D0EEA" w:rsidRDefault="00641776" w:rsidP="00641776">
      <w:pPr>
        <w:pStyle w:val="ListParagraph"/>
        <w:ind w:left="0"/>
        <w:jc w:val="both"/>
        <w:rPr>
          <w:rFonts w:ascii="Arial" w:hAnsi="Arial" w:cs="Arial"/>
          <w:sz w:val="22"/>
          <w:szCs w:val="22"/>
          <w:lang w:val="en-GB"/>
        </w:rPr>
      </w:pPr>
      <w:r>
        <w:rPr>
          <w:rFonts w:ascii="Arial" w:hAnsi="Arial" w:cs="Arial"/>
          <w:sz w:val="22"/>
          <w:szCs w:val="22"/>
          <w:lang w:val="en-GB"/>
        </w:rPr>
        <w:t xml:space="preserve">Targeted </w:t>
      </w:r>
      <w:r w:rsidRPr="006D0EEA">
        <w:rPr>
          <w:rFonts w:ascii="Arial" w:hAnsi="Arial" w:cs="Arial"/>
          <w:sz w:val="22"/>
          <w:szCs w:val="22"/>
          <w:lang w:val="en-GB"/>
        </w:rPr>
        <w:t xml:space="preserve">preventive therapy </w:t>
      </w:r>
      <w:r>
        <w:rPr>
          <w:rFonts w:ascii="Arial" w:hAnsi="Arial" w:cs="Arial"/>
          <w:sz w:val="22"/>
          <w:szCs w:val="22"/>
          <w:lang w:val="en-GB"/>
        </w:rPr>
        <w:t xml:space="preserve">for individuals at highest risk of </w:t>
      </w:r>
      <w:r w:rsidRPr="006D0EEA">
        <w:rPr>
          <w:rFonts w:ascii="Arial" w:hAnsi="Arial" w:cs="Arial"/>
          <w:sz w:val="22"/>
          <w:szCs w:val="22"/>
          <w:lang w:val="en-GB"/>
        </w:rPr>
        <w:t xml:space="preserve">incident tuberculosis might impact the epidemic by </w:t>
      </w:r>
      <w:r>
        <w:rPr>
          <w:rFonts w:ascii="Arial" w:hAnsi="Arial" w:cs="Arial"/>
          <w:sz w:val="22"/>
          <w:szCs w:val="22"/>
          <w:lang w:val="en-GB"/>
        </w:rPr>
        <w:t xml:space="preserve">interrupting </w:t>
      </w:r>
      <w:r w:rsidRPr="006D0EEA">
        <w:rPr>
          <w:rFonts w:ascii="Arial" w:hAnsi="Arial" w:cs="Arial"/>
          <w:sz w:val="22"/>
          <w:szCs w:val="22"/>
          <w:lang w:val="en-GB"/>
        </w:rPr>
        <w:t>transmission. We</w:t>
      </w:r>
      <w:r>
        <w:rPr>
          <w:rFonts w:ascii="Arial" w:hAnsi="Arial" w:cs="Arial"/>
          <w:sz w:val="22"/>
          <w:szCs w:val="22"/>
          <w:lang w:val="en-GB"/>
        </w:rPr>
        <w:t xml:space="preserve"> tested </w:t>
      </w:r>
      <w:r w:rsidRPr="006D0EEA">
        <w:rPr>
          <w:rFonts w:ascii="Arial" w:hAnsi="Arial" w:cs="Arial"/>
          <w:sz w:val="22"/>
          <w:szCs w:val="22"/>
          <w:lang w:val="en-GB"/>
        </w:rPr>
        <w:t xml:space="preserve">performance of </w:t>
      </w:r>
      <w:r>
        <w:rPr>
          <w:rFonts w:ascii="Arial" w:hAnsi="Arial" w:cs="Arial"/>
          <w:sz w:val="22"/>
          <w:szCs w:val="22"/>
          <w:lang w:val="en-GB"/>
        </w:rPr>
        <w:t>a t</w:t>
      </w:r>
      <w:r w:rsidRPr="006D0EEA">
        <w:rPr>
          <w:rFonts w:ascii="Arial" w:hAnsi="Arial" w:cs="Arial"/>
          <w:sz w:val="22"/>
          <w:szCs w:val="22"/>
          <w:lang w:val="en-GB"/>
        </w:rPr>
        <w:t>ranscriptomic signature of</w:t>
      </w:r>
      <w:r>
        <w:rPr>
          <w:rFonts w:ascii="Arial" w:hAnsi="Arial" w:cs="Arial"/>
          <w:sz w:val="22"/>
          <w:szCs w:val="22"/>
          <w:lang w:val="en-GB"/>
        </w:rPr>
        <w:t xml:space="preserve"> </w:t>
      </w:r>
      <w:r w:rsidRPr="006D0EEA">
        <w:rPr>
          <w:rFonts w:ascii="Arial" w:hAnsi="Arial" w:cs="Arial"/>
          <w:sz w:val="22"/>
          <w:szCs w:val="22"/>
          <w:lang w:val="en-GB"/>
        </w:rPr>
        <w:t>tuberculosis</w:t>
      </w:r>
      <w:r>
        <w:rPr>
          <w:rFonts w:ascii="Arial" w:hAnsi="Arial" w:cs="Arial"/>
          <w:sz w:val="22"/>
          <w:szCs w:val="22"/>
          <w:lang w:val="en-GB"/>
        </w:rPr>
        <w:t xml:space="preserve"> </w:t>
      </w:r>
      <w:r w:rsidRPr="006D0EEA">
        <w:rPr>
          <w:rFonts w:ascii="Arial" w:hAnsi="Arial" w:cs="Arial"/>
          <w:sz w:val="22"/>
          <w:szCs w:val="22"/>
          <w:lang w:val="en-GB"/>
        </w:rPr>
        <w:t>(RISK11)</w:t>
      </w:r>
      <w:r>
        <w:rPr>
          <w:rFonts w:ascii="Arial" w:hAnsi="Arial" w:cs="Arial"/>
          <w:sz w:val="22"/>
          <w:szCs w:val="22"/>
          <w:lang w:val="en-GB"/>
        </w:rPr>
        <w:t xml:space="preserve"> and </w:t>
      </w:r>
      <w:r w:rsidRPr="006D0EEA">
        <w:rPr>
          <w:rFonts w:ascii="Arial" w:hAnsi="Arial" w:cs="Arial"/>
          <w:sz w:val="22"/>
          <w:szCs w:val="22"/>
          <w:lang w:val="en-GB"/>
        </w:rPr>
        <w:t xml:space="preserve">efficacy of </w:t>
      </w:r>
      <w:r>
        <w:rPr>
          <w:rFonts w:ascii="Arial" w:hAnsi="Arial" w:cs="Arial"/>
          <w:sz w:val="22"/>
          <w:szCs w:val="22"/>
          <w:lang w:val="en-GB"/>
        </w:rPr>
        <w:t xml:space="preserve">signature-guided </w:t>
      </w:r>
      <w:r w:rsidRPr="006D0EEA">
        <w:rPr>
          <w:rFonts w:ascii="Arial" w:hAnsi="Arial" w:cs="Arial"/>
          <w:sz w:val="22"/>
          <w:szCs w:val="22"/>
          <w:lang w:val="en-GB"/>
        </w:rPr>
        <w:t>preventive therapy</w:t>
      </w:r>
      <w:r>
        <w:rPr>
          <w:rFonts w:ascii="Arial" w:hAnsi="Arial" w:cs="Arial"/>
          <w:sz w:val="22"/>
          <w:szCs w:val="22"/>
        </w:rPr>
        <w:t xml:space="preserve">, in parallel, using </w:t>
      </w:r>
      <w:r w:rsidRPr="00884134">
        <w:rPr>
          <w:rFonts w:ascii="Arial" w:hAnsi="Arial" w:cs="Arial"/>
          <w:sz w:val="22"/>
          <w:szCs w:val="22"/>
        </w:rPr>
        <w:t xml:space="preserve">a </w:t>
      </w:r>
      <w:r>
        <w:rPr>
          <w:rFonts w:ascii="Arial" w:hAnsi="Arial" w:cs="Arial"/>
          <w:sz w:val="22"/>
          <w:szCs w:val="22"/>
        </w:rPr>
        <w:t xml:space="preserve">hybrid </w:t>
      </w:r>
      <w:r w:rsidRPr="00884134">
        <w:rPr>
          <w:rFonts w:ascii="Arial" w:hAnsi="Arial" w:cs="Arial"/>
          <w:sz w:val="22"/>
          <w:szCs w:val="22"/>
        </w:rPr>
        <w:t>three-group</w:t>
      </w:r>
      <w:r>
        <w:rPr>
          <w:rFonts w:ascii="Arial" w:hAnsi="Arial" w:cs="Arial"/>
          <w:sz w:val="22"/>
          <w:szCs w:val="22"/>
        </w:rPr>
        <w:t xml:space="preserve"> study </w:t>
      </w:r>
      <w:r w:rsidRPr="00884134">
        <w:rPr>
          <w:rFonts w:ascii="Arial" w:hAnsi="Arial" w:cs="Arial"/>
          <w:sz w:val="22"/>
          <w:szCs w:val="22"/>
        </w:rPr>
        <w:t>design</w:t>
      </w:r>
      <w:r>
        <w:rPr>
          <w:rFonts w:ascii="Arial" w:hAnsi="Arial" w:cs="Arial"/>
          <w:sz w:val="22"/>
          <w:szCs w:val="22"/>
        </w:rPr>
        <w:t>.</w:t>
      </w:r>
    </w:p>
    <w:p w14:paraId="1602A50F" w14:textId="77777777" w:rsidR="00641776" w:rsidRPr="006D0EEA" w:rsidRDefault="00641776" w:rsidP="00641776">
      <w:pPr>
        <w:pStyle w:val="ListParagraph"/>
        <w:spacing w:before="240"/>
        <w:ind w:left="0"/>
        <w:contextualSpacing w:val="0"/>
        <w:jc w:val="both"/>
        <w:rPr>
          <w:rFonts w:ascii="Arial" w:hAnsi="Arial" w:cs="Arial"/>
          <w:b/>
          <w:bCs/>
          <w:sz w:val="22"/>
          <w:szCs w:val="22"/>
          <w:lang w:val="en-GB"/>
        </w:rPr>
      </w:pPr>
      <w:r w:rsidRPr="006D0EEA">
        <w:rPr>
          <w:rFonts w:ascii="Arial" w:hAnsi="Arial" w:cs="Arial"/>
          <w:b/>
          <w:bCs/>
          <w:sz w:val="22"/>
          <w:szCs w:val="22"/>
          <w:lang w:val="en-GB"/>
        </w:rPr>
        <w:t xml:space="preserve">Methods </w:t>
      </w:r>
    </w:p>
    <w:p w14:paraId="7E82EDAA" w14:textId="77777777" w:rsidR="00641776" w:rsidRPr="000B3C3F" w:rsidRDefault="00641776" w:rsidP="00641776">
      <w:pPr>
        <w:spacing w:line="240" w:lineRule="auto"/>
        <w:jc w:val="both"/>
        <w:rPr>
          <w:rFonts w:ascii="Arial" w:hAnsi="Arial" w:cs="Arial"/>
        </w:rPr>
      </w:pPr>
      <w:r>
        <w:rPr>
          <w:rFonts w:ascii="Arial" w:hAnsi="Arial" w:cs="Arial"/>
          <w:lang w:val="en-GB"/>
        </w:rPr>
        <w:t xml:space="preserve">Adult volunteers were recruited at five communities in South Africa. Whole blood was sampled for RISK11 </w:t>
      </w:r>
      <w:proofErr w:type="spellStart"/>
      <w:r>
        <w:rPr>
          <w:rFonts w:ascii="Arial" w:hAnsi="Arial" w:cs="Arial"/>
          <w:lang w:val="en-GB"/>
        </w:rPr>
        <w:t>qRT</w:t>
      </w:r>
      <w:proofErr w:type="spellEnd"/>
      <w:r>
        <w:rPr>
          <w:rFonts w:ascii="Arial" w:hAnsi="Arial" w:cs="Arial"/>
          <w:lang w:val="en-GB"/>
        </w:rPr>
        <w:t>-PCR assay from eligible volunteers without HIV, recent prior tuberculosis, or</w:t>
      </w:r>
      <w:r w:rsidRPr="00BF1030">
        <w:rPr>
          <w:rFonts w:ascii="Arial" w:hAnsi="Arial" w:cs="Arial"/>
          <w:lang w:val="en-GB"/>
        </w:rPr>
        <w:t xml:space="preserve"> </w:t>
      </w:r>
      <w:r>
        <w:rPr>
          <w:rFonts w:ascii="Arial" w:hAnsi="Arial" w:cs="Arial"/>
          <w:lang w:val="en-GB"/>
        </w:rPr>
        <w:t>co-morbidities at screening.</w:t>
      </w:r>
      <w:r w:rsidRPr="00880ECA">
        <w:rPr>
          <w:rFonts w:ascii="Arial" w:hAnsi="Arial" w:cs="Arial"/>
          <w:lang w:val="en-GB"/>
        </w:rPr>
        <w:t xml:space="preserve"> </w:t>
      </w:r>
      <w:r>
        <w:rPr>
          <w:rFonts w:ascii="Arial" w:hAnsi="Arial" w:cs="Arial"/>
          <w:lang w:val="en-GB"/>
        </w:rPr>
        <w:t>RISK11+ participants were block-</w:t>
      </w:r>
      <w:r w:rsidRPr="006D0EEA">
        <w:rPr>
          <w:rFonts w:ascii="Arial" w:hAnsi="Arial" w:cs="Arial"/>
          <w:lang w:val="en-GB"/>
        </w:rPr>
        <w:t>randomi</w:t>
      </w:r>
      <w:r>
        <w:rPr>
          <w:rFonts w:ascii="Arial" w:hAnsi="Arial" w:cs="Arial"/>
          <w:lang w:val="en-GB"/>
        </w:rPr>
        <w:t>s</w:t>
      </w:r>
      <w:r w:rsidRPr="006D0EEA">
        <w:rPr>
          <w:rFonts w:ascii="Arial" w:hAnsi="Arial" w:cs="Arial"/>
          <w:lang w:val="en-GB"/>
        </w:rPr>
        <w:t xml:space="preserve">ed </w:t>
      </w:r>
      <w:r>
        <w:rPr>
          <w:rFonts w:ascii="Arial" w:hAnsi="Arial" w:cs="Arial"/>
          <w:lang w:val="en-GB"/>
        </w:rPr>
        <w:t xml:space="preserve">(1:2) </w:t>
      </w:r>
      <w:r w:rsidRPr="006D0EEA">
        <w:rPr>
          <w:rFonts w:ascii="Arial" w:hAnsi="Arial" w:cs="Arial"/>
          <w:lang w:val="en-GB"/>
        </w:rPr>
        <w:t xml:space="preserve">to </w:t>
      </w:r>
      <w:r>
        <w:rPr>
          <w:rFonts w:ascii="Arial" w:hAnsi="Arial" w:cs="Arial"/>
          <w:lang w:val="en-GB"/>
        </w:rPr>
        <w:t xml:space="preserve">once-weekly, </w:t>
      </w:r>
      <w:proofErr w:type="gramStart"/>
      <w:r>
        <w:rPr>
          <w:rFonts w:ascii="Arial" w:hAnsi="Arial" w:cs="Arial"/>
          <w:lang w:val="en-GB"/>
        </w:rPr>
        <w:t>directly-observed</w:t>
      </w:r>
      <w:proofErr w:type="gramEnd"/>
      <w:r>
        <w:rPr>
          <w:rFonts w:ascii="Arial" w:hAnsi="Arial" w:cs="Arial"/>
          <w:lang w:val="en-GB"/>
        </w:rPr>
        <w:t xml:space="preserve">, open-label </w:t>
      </w:r>
      <w:r w:rsidRPr="006D0EEA">
        <w:rPr>
          <w:rFonts w:ascii="Arial" w:hAnsi="Arial" w:cs="Arial"/>
          <w:lang w:val="en-GB"/>
        </w:rPr>
        <w:t xml:space="preserve">isoniazid and rifapentine for 12 weeks </w:t>
      </w:r>
      <w:r>
        <w:rPr>
          <w:rFonts w:ascii="Arial" w:hAnsi="Arial" w:cs="Arial"/>
          <w:lang w:val="en-GB"/>
        </w:rPr>
        <w:t xml:space="preserve">(RISK11+/3HP+), </w:t>
      </w:r>
      <w:r w:rsidRPr="006D0EEA">
        <w:rPr>
          <w:rFonts w:ascii="Arial" w:hAnsi="Arial" w:cs="Arial"/>
          <w:lang w:val="en-GB"/>
        </w:rPr>
        <w:t>or no</w:t>
      </w:r>
      <w:r>
        <w:rPr>
          <w:rFonts w:ascii="Arial" w:hAnsi="Arial" w:cs="Arial"/>
          <w:lang w:val="en-GB"/>
        </w:rPr>
        <w:t xml:space="preserve"> treatment</w:t>
      </w:r>
      <w:r w:rsidRPr="006D0EEA">
        <w:rPr>
          <w:rFonts w:ascii="Arial" w:hAnsi="Arial" w:cs="Arial"/>
          <w:lang w:val="en-GB"/>
        </w:rPr>
        <w:t xml:space="preserve"> (</w:t>
      </w:r>
      <w:r>
        <w:rPr>
          <w:rFonts w:ascii="Arial" w:hAnsi="Arial" w:cs="Arial"/>
          <w:lang w:val="en-GB"/>
        </w:rPr>
        <w:t>RISK11+/</w:t>
      </w:r>
      <w:r w:rsidRPr="006D0EEA">
        <w:rPr>
          <w:rFonts w:ascii="Arial" w:hAnsi="Arial" w:cs="Arial"/>
          <w:lang w:val="en-GB"/>
        </w:rPr>
        <w:t>3HP</w:t>
      </w:r>
      <w:r w:rsidRPr="00E24B01">
        <w:rPr>
          <w:rFonts w:ascii="Arial" w:hAnsi="Arial" w:cs="Arial"/>
          <w:lang w:val="en-GB"/>
        </w:rPr>
        <w:t>-</w:t>
      </w:r>
      <w:r w:rsidRPr="006D0EEA">
        <w:rPr>
          <w:rFonts w:ascii="Arial" w:hAnsi="Arial" w:cs="Arial"/>
          <w:lang w:val="en-GB"/>
        </w:rPr>
        <w:t>)</w:t>
      </w:r>
      <w:r>
        <w:rPr>
          <w:rFonts w:ascii="Arial" w:hAnsi="Arial" w:cs="Arial"/>
          <w:lang w:val="en-GB"/>
        </w:rPr>
        <w:t xml:space="preserve">. A subset of eligible </w:t>
      </w:r>
      <w:r w:rsidRPr="006D0EEA">
        <w:rPr>
          <w:rFonts w:ascii="Arial" w:hAnsi="Arial" w:cs="Arial"/>
          <w:lang w:val="en-GB"/>
        </w:rPr>
        <w:t>RISK11</w:t>
      </w:r>
      <w:r w:rsidRPr="00E24B01">
        <w:rPr>
          <w:rFonts w:ascii="Arial" w:hAnsi="Arial" w:cs="Arial"/>
          <w:lang w:val="en-GB"/>
        </w:rPr>
        <w:t>-</w:t>
      </w:r>
      <w:r w:rsidRPr="006D0EEA">
        <w:rPr>
          <w:rFonts w:ascii="Arial" w:hAnsi="Arial" w:cs="Arial"/>
          <w:lang w:val="en-GB"/>
        </w:rPr>
        <w:t xml:space="preserve"> </w:t>
      </w:r>
      <w:r>
        <w:rPr>
          <w:rFonts w:ascii="Arial" w:hAnsi="Arial" w:cs="Arial"/>
          <w:lang w:val="en-GB"/>
        </w:rPr>
        <w:t>volunteer</w:t>
      </w:r>
      <w:r w:rsidRPr="006D0EEA">
        <w:rPr>
          <w:rFonts w:ascii="Arial" w:hAnsi="Arial" w:cs="Arial"/>
          <w:lang w:val="en-GB"/>
        </w:rPr>
        <w:t>s</w:t>
      </w:r>
      <w:r>
        <w:rPr>
          <w:rFonts w:ascii="Arial" w:hAnsi="Arial" w:cs="Arial"/>
          <w:lang w:val="en-GB"/>
        </w:rPr>
        <w:t xml:space="preserve"> </w:t>
      </w:r>
      <w:r w:rsidRPr="006D0EEA">
        <w:rPr>
          <w:rFonts w:ascii="Arial" w:hAnsi="Arial" w:cs="Arial"/>
          <w:lang w:val="en-GB"/>
        </w:rPr>
        <w:t xml:space="preserve">were </w:t>
      </w:r>
      <w:r>
        <w:rPr>
          <w:rFonts w:ascii="Arial" w:hAnsi="Arial" w:cs="Arial"/>
          <w:lang w:val="en-GB"/>
        </w:rPr>
        <w:t xml:space="preserve">randomised to no </w:t>
      </w:r>
      <w:proofErr w:type="gramStart"/>
      <w:r>
        <w:rPr>
          <w:rFonts w:ascii="Arial" w:hAnsi="Arial" w:cs="Arial"/>
          <w:lang w:val="en-GB"/>
        </w:rPr>
        <w:t>treatment  (</w:t>
      </w:r>
      <w:proofErr w:type="gramEnd"/>
      <w:r>
        <w:rPr>
          <w:rFonts w:ascii="Arial" w:hAnsi="Arial" w:cs="Arial"/>
          <w:lang w:val="en-GB"/>
        </w:rPr>
        <w:t>RISK11-/3HP-)</w:t>
      </w:r>
      <w:r w:rsidRPr="006D0EEA">
        <w:rPr>
          <w:rFonts w:ascii="Arial" w:hAnsi="Arial" w:cs="Arial"/>
          <w:lang w:val="en-GB"/>
        </w:rPr>
        <w:t>.</w:t>
      </w:r>
      <w:r>
        <w:rPr>
          <w:rFonts w:ascii="Arial" w:hAnsi="Arial" w:cs="Arial"/>
        </w:rPr>
        <w:t xml:space="preserve"> Diagnostic discrimination of </w:t>
      </w:r>
      <w:r w:rsidRPr="00884134">
        <w:rPr>
          <w:rFonts w:ascii="Arial" w:hAnsi="Arial" w:cs="Arial"/>
        </w:rPr>
        <w:t xml:space="preserve">prevalent </w:t>
      </w:r>
      <w:r>
        <w:rPr>
          <w:rFonts w:ascii="Arial" w:hAnsi="Arial" w:cs="Arial"/>
        </w:rPr>
        <w:t>tuberculosis</w:t>
      </w:r>
      <w:r w:rsidRPr="00884134">
        <w:rPr>
          <w:rFonts w:ascii="Arial" w:hAnsi="Arial" w:cs="Arial"/>
        </w:rPr>
        <w:t xml:space="preserve"> was tested in all </w:t>
      </w:r>
      <w:r>
        <w:rPr>
          <w:rFonts w:ascii="Arial" w:hAnsi="Arial" w:cs="Arial"/>
          <w:lang w:val="en-GB"/>
        </w:rPr>
        <w:t>p</w:t>
      </w:r>
      <w:r w:rsidRPr="006D0EEA">
        <w:rPr>
          <w:rFonts w:ascii="Arial" w:hAnsi="Arial" w:cs="Arial"/>
          <w:lang w:val="en-GB"/>
        </w:rPr>
        <w:t xml:space="preserve">articipants </w:t>
      </w:r>
      <w:r>
        <w:rPr>
          <w:rFonts w:ascii="Arial" w:hAnsi="Arial" w:cs="Arial"/>
          <w:lang w:val="en-GB"/>
        </w:rPr>
        <w:t>at</w:t>
      </w:r>
      <w:r w:rsidRPr="006D0EEA">
        <w:rPr>
          <w:rFonts w:ascii="Arial" w:hAnsi="Arial" w:cs="Arial"/>
          <w:lang w:val="en-GB"/>
        </w:rPr>
        <w:t xml:space="preserve"> baselin</w:t>
      </w:r>
      <w:r>
        <w:rPr>
          <w:rFonts w:ascii="Arial" w:hAnsi="Arial" w:cs="Arial"/>
          <w:lang w:val="en-GB"/>
        </w:rPr>
        <w:t xml:space="preserve">e. </w:t>
      </w:r>
      <w:r>
        <w:rPr>
          <w:rFonts w:ascii="Arial" w:hAnsi="Arial" w:cs="Arial"/>
          <w:bCs/>
          <w:lang w:val="en-GB"/>
        </w:rPr>
        <w:t xml:space="preserve">Thereafter, </w:t>
      </w:r>
      <w:r>
        <w:rPr>
          <w:rFonts w:ascii="Arial" w:hAnsi="Arial" w:cs="Arial"/>
        </w:rPr>
        <w:t xml:space="preserve">prognostic discrimination of </w:t>
      </w:r>
      <w:r w:rsidRPr="00884134">
        <w:rPr>
          <w:rFonts w:ascii="Arial" w:hAnsi="Arial" w:cs="Arial"/>
        </w:rPr>
        <w:t xml:space="preserve">incident </w:t>
      </w:r>
      <w:r>
        <w:rPr>
          <w:rFonts w:ascii="Arial" w:hAnsi="Arial" w:cs="Arial"/>
        </w:rPr>
        <w:t>tuberculosis</w:t>
      </w:r>
      <w:r w:rsidRPr="00884134">
        <w:rPr>
          <w:rFonts w:ascii="Arial" w:hAnsi="Arial" w:cs="Arial"/>
        </w:rPr>
        <w:t xml:space="preserve"> was tested in the untreated RISK11+ </w:t>
      </w:r>
      <w:r>
        <w:rPr>
          <w:rFonts w:ascii="Arial" w:hAnsi="Arial" w:cs="Arial"/>
        </w:rPr>
        <w:t>versus</w:t>
      </w:r>
      <w:r w:rsidRPr="00884134">
        <w:rPr>
          <w:rFonts w:ascii="Arial" w:hAnsi="Arial" w:cs="Arial"/>
        </w:rPr>
        <w:t xml:space="preserve"> RISK11-</w:t>
      </w:r>
      <w:r>
        <w:rPr>
          <w:rFonts w:ascii="Arial" w:hAnsi="Arial" w:cs="Arial"/>
        </w:rPr>
        <w:t xml:space="preserve"> groups,</w:t>
      </w:r>
      <w:r w:rsidRPr="00884134">
        <w:rPr>
          <w:rFonts w:ascii="Arial" w:hAnsi="Arial" w:cs="Arial"/>
        </w:rPr>
        <w:t xml:space="preserve"> and</w:t>
      </w:r>
      <w:r>
        <w:rPr>
          <w:rFonts w:ascii="Arial" w:hAnsi="Arial" w:cs="Arial"/>
        </w:rPr>
        <w:t xml:space="preserve"> </w:t>
      </w:r>
      <w:r w:rsidRPr="00884134">
        <w:rPr>
          <w:rFonts w:ascii="Arial" w:hAnsi="Arial" w:cs="Arial"/>
        </w:rPr>
        <w:t>treatment efficacy in the</w:t>
      </w:r>
      <w:r>
        <w:rPr>
          <w:rFonts w:ascii="Arial" w:hAnsi="Arial" w:cs="Arial"/>
        </w:rPr>
        <w:t xml:space="preserve"> 3HP </w:t>
      </w:r>
      <w:r w:rsidRPr="00884134">
        <w:rPr>
          <w:rFonts w:ascii="Arial" w:hAnsi="Arial" w:cs="Arial"/>
        </w:rPr>
        <w:t>treated</w:t>
      </w:r>
      <w:r>
        <w:rPr>
          <w:rFonts w:ascii="Arial" w:hAnsi="Arial" w:cs="Arial"/>
        </w:rPr>
        <w:t xml:space="preserve"> versus</w:t>
      </w:r>
      <w:r w:rsidRPr="00884134">
        <w:rPr>
          <w:rFonts w:ascii="Arial" w:hAnsi="Arial" w:cs="Arial"/>
        </w:rPr>
        <w:t xml:space="preserve"> untreated RISK11+ groups</w:t>
      </w:r>
      <w:r>
        <w:rPr>
          <w:rFonts w:ascii="Arial" w:hAnsi="Arial" w:cs="Arial"/>
        </w:rPr>
        <w:t>,</w:t>
      </w:r>
      <w:r w:rsidRPr="00A646AC">
        <w:rPr>
          <w:rFonts w:ascii="Arial" w:hAnsi="Arial" w:cs="Arial"/>
          <w:bCs/>
          <w:lang w:val="en-GB"/>
        </w:rPr>
        <w:t xml:space="preserve"> </w:t>
      </w:r>
      <w:r>
        <w:rPr>
          <w:rFonts w:ascii="Arial" w:hAnsi="Arial" w:cs="Arial"/>
          <w:bCs/>
          <w:lang w:val="en-GB"/>
        </w:rPr>
        <w:t>during</w:t>
      </w:r>
      <w:r>
        <w:rPr>
          <w:rFonts w:ascii="Arial" w:hAnsi="Arial" w:cs="Arial"/>
        </w:rPr>
        <w:t xml:space="preserve"> </w:t>
      </w:r>
      <w:r>
        <w:rPr>
          <w:rFonts w:ascii="Arial" w:hAnsi="Arial" w:cs="Arial"/>
          <w:lang w:val="en-GB"/>
        </w:rPr>
        <w:t xml:space="preserve">active surveillance </w:t>
      </w:r>
      <w:r>
        <w:rPr>
          <w:rFonts w:ascii="Arial" w:hAnsi="Arial" w:cs="Arial"/>
          <w:bCs/>
          <w:lang w:val="en-GB"/>
        </w:rPr>
        <w:t>through 15 months</w:t>
      </w:r>
      <w:r>
        <w:rPr>
          <w:rFonts w:ascii="Arial" w:hAnsi="Arial" w:cs="Arial"/>
          <w:lang w:val="en-GB"/>
        </w:rPr>
        <w:t>.</w:t>
      </w:r>
      <w:r w:rsidRPr="009F66C8">
        <w:rPr>
          <w:rFonts w:ascii="Arial" w:hAnsi="Arial" w:cs="Arial"/>
          <w:lang w:val="en-GB"/>
        </w:rPr>
        <w:t xml:space="preserve"> </w:t>
      </w:r>
      <w:r>
        <w:rPr>
          <w:rFonts w:ascii="Arial" w:hAnsi="Arial" w:cs="Arial"/>
          <w:lang w:val="en-GB"/>
        </w:rPr>
        <w:t xml:space="preserve">The primary endpoint was </w:t>
      </w:r>
      <w:proofErr w:type="gramStart"/>
      <w:r w:rsidRPr="006D0EEA">
        <w:rPr>
          <w:rFonts w:ascii="Arial" w:hAnsi="Arial" w:cs="Arial"/>
          <w:lang w:val="en-GB"/>
        </w:rPr>
        <w:t>microbiologically-confirmed</w:t>
      </w:r>
      <w:proofErr w:type="gramEnd"/>
      <w:r w:rsidRPr="006D0EEA">
        <w:rPr>
          <w:rFonts w:ascii="Arial" w:hAnsi="Arial" w:cs="Arial"/>
          <w:lang w:val="en-GB"/>
        </w:rPr>
        <w:t xml:space="preserve"> </w:t>
      </w:r>
      <w:r>
        <w:rPr>
          <w:rFonts w:ascii="Arial" w:hAnsi="Arial" w:cs="Arial"/>
          <w:lang w:val="en-GB"/>
        </w:rPr>
        <w:t xml:space="preserve">pulmonary </w:t>
      </w:r>
      <w:r w:rsidRPr="006D0EEA">
        <w:rPr>
          <w:rFonts w:ascii="Arial" w:hAnsi="Arial" w:cs="Arial"/>
          <w:lang w:val="en-GB"/>
        </w:rPr>
        <w:t>tuberculosis</w:t>
      </w:r>
      <w:r>
        <w:rPr>
          <w:rFonts w:ascii="Arial" w:hAnsi="Arial" w:cs="Arial"/>
          <w:lang w:val="en-GB"/>
        </w:rPr>
        <w:t xml:space="preserve">. </w:t>
      </w:r>
      <w:r>
        <w:rPr>
          <w:rFonts w:ascii="Arial" w:hAnsi="Arial" w:cs="Arial"/>
          <w:bCs/>
          <w:lang w:val="en-GB"/>
        </w:rPr>
        <w:t>The primary outcome measures were risk ratio for tuberculosis of RISK11+ to RISK11-; and treatment efficacy.</w:t>
      </w:r>
    </w:p>
    <w:p w14:paraId="7FE47BF4" w14:textId="77777777" w:rsidR="00641776" w:rsidRPr="006D0EEA" w:rsidRDefault="00641776" w:rsidP="00641776">
      <w:pPr>
        <w:pStyle w:val="ListParagraph"/>
        <w:ind w:left="0"/>
        <w:jc w:val="both"/>
        <w:rPr>
          <w:rFonts w:ascii="Arial" w:hAnsi="Arial" w:cs="Arial"/>
          <w:b/>
          <w:bCs/>
          <w:sz w:val="22"/>
          <w:szCs w:val="22"/>
          <w:lang w:val="en-GB"/>
        </w:rPr>
      </w:pPr>
      <w:r>
        <w:rPr>
          <w:rFonts w:ascii="Arial" w:hAnsi="Arial" w:cs="Arial"/>
          <w:b/>
          <w:bCs/>
          <w:sz w:val="22"/>
          <w:szCs w:val="22"/>
          <w:lang w:val="en-GB"/>
        </w:rPr>
        <w:t>Findings</w:t>
      </w:r>
    </w:p>
    <w:p w14:paraId="7B7440BD" w14:textId="77777777" w:rsidR="00641776" w:rsidRPr="006D0EEA" w:rsidRDefault="00641776" w:rsidP="00641776">
      <w:pPr>
        <w:pStyle w:val="ListParagraph"/>
        <w:ind w:left="0"/>
        <w:jc w:val="both"/>
        <w:rPr>
          <w:rFonts w:ascii="Arial" w:hAnsi="Arial" w:cs="Arial"/>
          <w:sz w:val="22"/>
          <w:szCs w:val="22"/>
          <w:lang w:val="en-GB"/>
        </w:rPr>
      </w:pPr>
      <w:r w:rsidRPr="006D0EEA">
        <w:rPr>
          <w:rFonts w:ascii="Arial" w:hAnsi="Arial" w:cs="Arial"/>
          <w:sz w:val="22"/>
          <w:szCs w:val="22"/>
          <w:lang w:val="en-GB"/>
        </w:rPr>
        <w:t>20,207 volunteers were screened</w:t>
      </w:r>
      <w:r>
        <w:rPr>
          <w:rFonts w:ascii="Arial" w:hAnsi="Arial" w:cs="Arial"/>
          <w:sz w:val="22"/>
          <w:szCs w:val="22"/>
          <w:lang w:val="en-GB"/>
        </w:rPr>
        <w:t xml:space="preserve"> to enrol </w:t>
      </w:r>
      <w:r w:rsidRPr="006D0EEA">
        <w:rPr>
          <w:rFonts w:ascii="Arial" w:hAnsi="Arial" w:cs="Arial"/>
          <w:sz w:val="22"/>
          <w:szCs w:val="22"/>
          <w:lang w:val="en-GB"/>
        </w:rPr>
        <w:t>2,923 participants</w:t>
      </w:r>
      <w:r>
        <w:rPr>
          <w:rFonts w:ascii="Arial" w:hAnsi="Arial" w:cs="Arial"/>
          <w:sz w:val="22"/>
          <w:szCs w:val="22"/>
          <w:lang w:val="en-GB"/>
        </w:rPr>
        <w:t xml:space="preserve">, </w:t>
      </w:r>
      <w:r w:rsidRPr="006D0EEA">
        <w:rPr>
          <w:rFonts w:ascii="Arial" w:hAnsi="Arial" w:cs="Arial"/>
          <w:sz w:val="22"/>
          <w:szCs w:val="22"/>
          <w:lang w:val="en-GB"/>
        </w:rPr>
        <w:t>including RISK11+</w:t>
      </w:r>
      <w:r>
        <w:rPr>
          <w:rFonts w:ascii="Arial" w:hAnsi="Arial" w:cs="Arial"/>
          <w:sz w:val="22"/>
          <w:szCs w:val="22"/>
          <w:lang w:val="en-GB"/>
        </w:rPr>
        <w:t xml:space="preserve"> participants</w:t>
      </w:r>
      <w:r w:rsidRPr="006D0EEA">
        <w:rPr>
          <w:rFonts w:ascii="Arial" w:hAnsi="Arial" w:cs="Arial"/>
          <w:sz w:val="22"/>
          <w:szCs w:val="22"/>
          <w:lang w:val="en-GB"/>
        </w:rPr>
        <w:t xml:space="preserve"> randomized to 3HP</w:t>
      </w:r>
      <w:r>
        <w:rPr>
          <w:rFonts w:ascii="Arial" w:hAnsi="Arial" w:cs="Arial"/>
          <w:sz w:val="22"/>
          <w:szCs w:val="22"/>
          <w:lang w:val="en-GB"/>
        </w:rPr>
        <w:t xml:space="preserve"> (n=</w:t>
      </w:r>
      <w:r w:rsidRPr="006D0EEA">
        <w:rPr>
          <w:rFonts w:ascii="Arial" w:hAnsi="Arial" w:cs="Arial"/>
          <w:sz w:val="22"/>
          <w:szCs w:val="22"/>
          <w:lang w:val="en-GB"/>
        </w:rPr>
        <w:t>375</w:t>
      </w:r>
      <w:r>
        <w:rPr>
          <w:rFonts w:ascii="Arial" w:hAnsi="Arial" w:cs="Arial"/>
          <w:sz w:val="22"/>
          <w:szCs w:val="22"/>
          <w:lang w:val="en-GB"/>
        </w:rPr>
        <w:t>)</w:t>
      </w:r>
      <w:r w:rsidRPr="006D0EEA">
        <w:rPr>
          <w:rFonts w:ascii="Arial" w:hAnsi="Arial" w:cs="Arial"/>
          <w:sz w:val="22"/>
          <w:szCs w:val="22"/>
          <w:lang w:val="en-GB"/>
        </w:rPr>
        <w:t xml:space="preserve"> </w:t>
      </w:r>
      <w:r>
        <w:rPr>
          <w:rFonts w:ascii="Arial" w:hAnsi="Arial" w:cs="Arial"/>
          <w:sz w:val="22"/>
          <w:szCs w:val="22"/>
          <w:lang w:val="en-GB"/>
        </w:rPr>
        <w:t>or</w:t>
      </w:r>
      <w:r w:rsidRPr="006D0EEA">
        <w:rPr>
          <w:rFonts w:ascii="Arial" w:hAnsi="Arial" w:cs="Arial"/>
          <w:sz w:val="22"/>
          <w:szCs w:val="22"/>
          <w:lang w:val="en-GB"/>
        </w:rPr>
        <w:t xml:space="preserve"> no 3HP (</w:t>
      </w:r>
      <w:r>
        <w:rPr>
          <w:rFonts w:ascii="Arial" w:hAnsi="Arial" w:cs="Arial"/>
          <w:sz w:val="22"/>
          <w:szCs w:val="22"/>
          <w:lang w:val="en-GB"/>
        </w:rPr>
        <w:t>n=</w:t>
      </w:r>
      <w:r w:rsidRPr="006D0EEA">
        <w:rPr>
          <w:rFonts w:ascii="Arial" w:hAnsi="Arial" w:cs="Arial"/>
          <w:sz w:val="22"/>
          <w:szCs w:val="22"/>
          <w:lang w:val="en-GB"/>
        </w:rPr>
        <w:t xml:space="preserve">764); and 1,784 RISK11- participants. </w:t>
      </w:r>
      <w:r w:rsidRPr="00153066">
        <w:rPr>
          <w:rFonts w:ascii="Arial" w:hAnsi="Arial" w:cs="Arial"/>
          <w:sz w:val="22"/>
          <w:szCs w:val="22"/>
          <w:lang w:val="en-GB"/>
        </w:rPr>
        <w:t xml:space="preserve">Cumulative probability of prevalent or incident </w:t>
      </w:r>
      <w:r>
        <w:rPr>
          <w:rFonts w:ascii="Arial" w:hAnsi="Arial" w:cs="Arial"/>
          <w:sz w:val="22"/>
          <w:szCs w:val="22"/>
          <w:lang w:val="en-GB"/>
        </w:rPr>
        <w:t>tuberculosis</w:t>
      </w:r>
      <w:r w:rsidRPr="00153066">
        <w:rPr>
          <w:rFonts w:ascii="Arial" w:hAnsi="Arial" w:cs="Arial"/>
          <w:sz w:val="22"/>
          <w:szCs w:val="22"/>
          <w:lang w:val="en-GB"/>
        </w:rPr>
        <w:t xml:space="preserve"> disease was 0.066 (95% CI 0.049-0.084) </w:t>
      </w:r>
      <w:proofErr w:type="gramStart"/>
      <w:r w:rsidRPr="00153066">
        <w:rPr>
          <w:rFonts w:ascii="Arial" w:hAnsi="Arial" w:cs="Arial"/>
          <w:sz w:val="22"/>
          <w:szCs w:val="22"/>
          <w:lang w:val="en-GB"/>
        </w:rPr>
        <w:t xml:space="preserve">in </w:t>
      </w:r>
      <w:r>
        <w:rPr>
          <w:rFonts w:ascii="Arial" w:hAnsi="Arial" w:cs="Arial"/>
          <w:sz w:val="22"/>
          <w:szCs w:val="22"/>
          <w:lang w:val="en-GB"/>
        </w:rPr>
        <w:t xml:space="preserve"> </w:t>
      </w:r>
      <w:r w:rsidRPr="00153066">
        <w:rPr>
          <w:rFonts w:ascii="Arial" w:hAnsi="Arial" w:cs="Arial"/>
          <w:sz w:val="22"/>
          <w:szCs w:val="22"/>
          <w:lang w:val="en-GB"/>
        </w:rPr>
        <w:t>RISK</w:t>
      </w:r>
      <w:proofErr w:type="gramEnd"/>
      <w:r w:rsidRPr="00153066">
        <w:rPr>
          <w:rFonts w:ascii="Arial" w:hAnsi="Arial" w:cs="Arial"/>
          <w:sz w:val="22"/>
          <w:szCs w:val="22"/>
          <w:lang w:val="en-GB"/>
        </w:rPr>
        <w:t>11+</w:t>
      </w:r>
      <w:r>
        <w:rPr>
          <w:rFonts w:ascii="Arial" w:hAnsi="Arial" w:cs="Arial"/>
          <w:sz w:val="22"/>
          <w:szCs w:val="22"/>
          <w:lang w:val="en-GB"/>
        </w:rPr>
        <w:t xml:space="preserve"> (3HP-)</w:t>
      </w:r>
      <w:r w:rsidRPr="00153066">
        <w:rPr>
          <w:rFonts w:ascii="Arial" w:hAnsi="Arial" w:cs="Arial"/>
          <w:sz w:val="22"/>
          <w:szCs w:val="22"/>
          <w:lang w:val="en-GB"/>
        </w:rPr>
        <w:t xml:space="preserve"> participants and 0.018 (95% CI 0.011-0.025</w:t>
      </w:r>
      <w:r w:rsidRPr="006D0EEA">
        <w:rPr>
          <w:rFonts w:ascii="Arial" w:hAnsi="Arial" w:cs="Arial"/>
          <w:sz w:val="22"/>
          <w:szCs w:val="22"/>
          <w:lang w:val="en-GB"/>
        </w:rPr>
        <w:t>) in RISK11- participants</w:t>
      </w:r>
      <w:r>
        <w:rPr>
          <w:rFonts w:ascii="Arial" w:hAnsi="Arial" w:cs="Arial"/>
          <w:sz w:val="22"/>
          <w:szCs w:val="22"/>
          <w:lang w:val="en-GB"/>
        </w:rPr>
        <w:t xml:space="preserve"> [R</w:t>
      </w:r>
      <w:r w:rsidRPr="006D0EEA">
        <w:rPr>
          <w:rFonts w:ascii="Arial" w:hAnsi="Arial" w:cs="Arial"/>
          <w:sz w:val="22"/>
          <w:szCs w:val="22"/>
          <w:lang w:val="en-GB"/>
        </w:rPr>
        <w:t>isk</w:t>
      </w:r>
      <w:r>
        <w:rPr>
          <w:rFonts w:ascii="Arial" w:hAnsi="Arial" w:cs="Arial"/>
          <w:sz w:val="22"/>
          <w:szCs w:val="22"/>
          <w:lang w:val="en-GB"/>
        </w:rPr>
        <w:t xml:space="preserve"> R</w:t>
      </w:r>
      <w:r w:rsidRPr="006D0EEA">
        <w:rPr>
          <w:rFonts w:ascii="Arial" w:hAnsi="Arial" w:cs="Arial"/>
          <w:sz w:val="22"/>
          <w:szCs w:val="22"/>
          <w:lang w:val="en-GB"/>
        </w:rPr>
        <w:t>atio 3.69 (</w:t>
      </w:r>
      <w:r w:rsidRPr="00153066">
        <w:rPr>
          <w:rFonts w:ascii="Arial" w:hAnsi="Arial" w:cs="Arial"/>
          <w:sz w:val="22"/>
          <w:szCs w:val="22"/>
          <w:lang w:val="en-GB"/>
        </w:rPr>
        <w:t>95% CI 2.25-6.05)</w:t>
      </w:r>
      <w:r>
        <w:rPr>
          <w:rFonts w:ascii="Arial" w:hAnsi="Arial" w:cs="Arial"/>
          <w:sz w:val="22"/>
          <w:szCs w:val="22"/>
          <w:lang w:val="en-GB"/>
        </w:rPr>
        <w:t>]</w:t>
      </w:r>
      <w:r w:rsidRPr="00153066">
        <w:rPr>
          <w:rFonts w:ascii="Arial" w:hAnsi="Arial" w:cs="Arial"/>
          <w:sz w:val="22"/>
          <w:szCs w:val="22"/>
          <w:lang w:val="en-GB"/>
        </w:rPr>
        <w:t xml:space="preserve"> over 15 months</w:t>
      </w:r>
      <w:r>
        <w:rPr>
          <w:rFonts w:ascii="Arial" w:hAnsi="Arial" w:cs="Arial"/>
          <w:sz w:val="22"/>
          <w:szCs w:val="22"/>
          <w:lang w:val="en-GB"/>
        </w:rPr>
        <w:t>.</w:t>
      </w:r>
      <w:r w:rsidRPr="00153066">
        <w:rPr>
          <w:rFonts w:ascii="Arial" w:hAnsi="Arial" w:cs="Arial"/>
          <w:sz w:val="22"/>
          <w:szCs w:val="22"/>
          <w:lang w:val="en-GB"/>
        </w:rPr>
        <w:t xml:space="preserve"> </w:t>
      </w:r>
      <w:r>
        <w:rPr>
          <w:rFonts w:ascii="Arial" w:hAnsi="Arial" w:cs="Arial"/>
          <w:sz w:val="22"/>
          <w:szCs w:val="22"/>
          <w:lang w:val="en-GB"/>
        </w:rPr>
        <w:t>T</w:t>
      </w:r>
      <w:r w:rsidRPr="006D0EEA">
        <w:rPr>
          <w:rFonts w:ascii="Arial" w:hAnsi="Arial" w:cs="Arial"/>
          <w:sz w:val="22"/>
          <w:szCs w:val="22"/>
          <w:lang w:val="en-GB"/>
        </w:rPr>
        <w:t xml:space="preserve">uberculosis </w:t>
      </w:r>
      <w:r>
        <w:rPr>
          <w:rFonts w:ascii="Arial" w:hAnsi="Arial" w:cs="Arial"/>
          <w:sz w:val="22"/>
          <w:szCs w:val="22"/>
          <w:lang w:val="en-GB"/>
        </w:rPr>
        <w:t xml:space="preserve">prevalence was 4.1% (47/1139) vs 0.78% (14/1984) in </w:t>
      </w:r>
      <w:r w:rsidRPr="006D0EEA">
        <w:rPr>
          <w:rFonts w:ascii="Arial" w:hAnsi="Arial" w:cs="Arial"/>
          <w:sz w:val="22"/>
          <w:szCs w:val="22"/>
          <w:lang w:val="en-GB"/>
        </w:rPr>
        <w:t>RISK11+</w:t>
      </w:r>
      <w:r>
        <w:rPr>
          <w:rFonts w:ascii="Arial" w:hAnsi="Arial" w:cs="Arial"/>
          <w:sz w:val="22"/>
          <w:szCs w:val="22"/>
          <w:lang w:val="en-GB"/>
        </w:rPr>
        <w:t xml:space="preserve"> compared to </w:t>
      </w:r>
      <w:r w:rsidRPr="006D0EEA">
        <w:rPr>
          <w:rFonts w:ascii="Arial" w:hAnsi="Arial" w:cs="Arial"/>
          <w:sz w:val="22"/>
          <w:szCs w:val="22"/>
          <w:lang w:val="en-GB"/>
        </w:rPr>
        <w:t>RISK11-</w:t>
      </w:r>
      <w:r>
        <w:rPr>
          <w:rFonts w:ascii="Arial" w:hAnsi="Arial" w:cs="Arial"/>
          <w:sz w:val="22"/>
          <w:szCs w:val="22"/>
          <w:lang w:val="en-GB"/>
        </w:rPr>
        <w:t xml:space="preserve"> </w:t>
      </w:r>
      <w:r w:rsidRPr="00552682">
        <w:rPr>
          <w:rFonts w:ascii="Arial" w:hAnsi="Arial" w:cs="Arial"/>
          <w:sz w:val="22"/>
          <w:szCs w:val="22"/>
          <w:lang w:val="en-GB"/>
        </w:rPr>
        <w:t>participants</w:t>
      </w:r>
      <w:r>
        <w:rPr>
          <w:rFonts w:ascii="Arial" w:hAnsi="Arial" w:cs="Arial"/>
          <w:sz w:val="22"/>
          <w:szCs w:val="22"/>
          <w:lang w:val="en-GB"/>
        </w:rPr>
        <w:t xml:space="preserve"> </w:t>
      </w:r>
      <w:r w:rsidRPr="00552682">
        <w:rPr>
          <w:rFonts w:ascii="Arial" w:hAnsi="Arial" w:cs="Arial"/>
          <w:sz w:val="22"/>
          <w:szCs w:val="22"/>
          <w:lang w:val="en-GB"/>
        </w:rPr>
        <w:t>[Diagnostic Risk Ratio 5.13</w:t>
      </w:r>
      <w:r w:rsidRPr="008327F9">
        <w:rPr>
          <w:rFonts w:ascii="Arial" w:hAnsi="Arial" w:cs="Arial"/>
          <w:sz w:val="22"/>
          <w:szCs w:val="22"/>
          <w:lang w:val="en-GB"/>
        </w:rPr>
        <w:t xml:space="preserve"> (</w:t>
      </w:r>
      <w:r w:rsidRPr="00314B7C">
        <w:rPr>
          <w:rFonts w:ascii="Arial" w:hAnsi="Arial" w:cs="Arial"/>
          <w:sz w:val="22"/>
          <w:szCs w:val="22"/>
          <w:lang w:val="en-GB"/>
        </w:rPr>
        <w:t>95%</w:t>
      </w:r>
      <w:r w:rsidRPr="00552682">
        <w:rPr>
          <w:rFonts w:ascii="Arial" w:hAnsi="Arial" w:cs="Arial"/>
          <w:sz w:val="22"/>
          <w:szCs w:val="22"/>
          <w:lang w:val="en-GB"/>
        </w:rPr>
        <w:t>CI 2.93-9.43)</w:t>
      </w:r>
      <w:r>
        <w:rPr>
          <w:rFonts w:ascii="Arial" w:hAnsi="Arial" w:cs="Arial"/>
          <w:sz w:val="22"/>
          <w:szCs w:val="22"/>
          <w:lang w:val="en-GB"/>
        </w:rPr>
        <w:t xml:space="preserve">]. </w:t>
      </w:r>
      <w:r w:rsidRPr="00552682">
        <w:rPr>
          <w:rFonts w:ascii="Arial" w:hAnsi="Arial" w:cs="Arial"/>
          <w:sz w:val="22"/>
          <w:szCs w:val="22"/>
          <w:lang w:val="en-GB"/>
        </w:rPr>
        <w:t>Tuberculosi</w:t>
      </w:r>
      <w:r>
        <w:rPr>
          <w:rFonts w:ascii="Arial" w:hAnsi="Arial" w:cs="Arial"/>
          <w:sz w:val="22"/>
          <w:szCs w:val="22"/>
          <w:lang w:val="en-GB"/>
        </w:rPr>
        <w:t xml:space="preserve">s incidence </w:t>
      </w:r>
      <w:r w:rsidRPr="006D0EEA">
        <w:rPr>
          <w:rFonts w:ascii="Arial" w:hAnsi="Arial" w:cs="Arial"/>
          <w:sz w:val="22"/>
          <w:szCs w:val="22"/>
          <w:lang w:val="en-GB"/>
        </w:rPr>
        <w:t>over 15 months</w:t>
      </w:r>
      <w:r>
        <w:rPr>
          <w:rFonts w:ascii="Arial" w:hAnsi="Arial" w:cs="Arial"/>
          <w:sz w:val="22"/>
          <w:szCs w:val="22"/>
          <w:lang w:val="en-GB"/>
        </w:rPr>
        <w:t xml:space="preserve"> was 2.09 (</w:t>
      </w:r>
      <w:r w:rsidRPr="006D0EEA">
        <w:rPr>
          <w:rFonts w:ascii="Arial" w:hAnsi="Arial" w:cs="Arial"/>
          <w:sz w:val="22"/>
          <w:szCs w:val="22"/>
          <w:lang w:val="en-GB"/>
        </w:rPr>
        <w:t>95%</w:t>
      </w:r>
      <w:r>
        <w:rPr>
          <w:rFonts w:ascii="Arial" w:hAnsi="Arial" w:cs="Arial"/>
          <w:sz w:val="22"/>
          <w:szCs w:val="22"/>
          <w:lang w:val="en-GB"/>
        </w:rPr>
        <w:t xml:space="preserve"> </w:t>
      </w:r>
      <w:r w:rsidRPr="006D0EEA">
        <w:rPr>
          <w:rFonts w:ascii="Arial" w:hAnsi="Arial" w:cs="Arial"/>
          <w:sz w:val="22"/>
          <w:szCs w:val="22"/>
          <w:lang w:val="en-GB"/>
        </w:rPr>
        <w:t xml:space="preserve">CI </w:t>
      </w:r>
      <w:r>
        <w:rPr>
          <w:rFonts w:ascii="Arial" w:hAnsi="Arial" w:cs="Arial"/>
          <w:sz w:val="22"/>
          <w:szCs w:val="22"/>
          <w:lang w:val="en-GB"/>
        </w:rPr>
        <w:t>0.97-3.19) vs 0.80 (</w:t>
      </w:r>
      <w:r w:rsidRPr="006D0EEA">
        <w:rPr>
          <w:rFonts w:ascii="Arial" w:hAnsi="Arial" w:cs="Arial"/>
          <w:sz w:val="22"/>
          <w:szCs w:val="22"/>
          <w:lang w:val="en-GB"/>
        </w:rPr>
        <w:t xml:space="preserve">95%CI </w:t>
      </w:r>
      <w:r>
        <w:rPr>
          <w:rFonts w:ascii="Arial" w:hAnsi="Arial" w:cs="Arial"/>
          <w:sz w:val="22"/>
          <w:szCs w:val="22"/>
          <w:lang w:val="en-GB"/>
        </w:rPr>
        <w:t>0.30-1.30) per 100 person years (</w:t>
      </w:r>
      <w:proofErr w:type="spellStart"/>
      <w:r>
        <w:rPr>
          <w:rFonts w:ascii="Arial" w:hAnsi="Arial" w:cs="Arial"/>
          <w:sz w:val="22"/>
          <w:szCs w:val="22"/>
          <w:lang w:val="en-GB"/>
        </w:rPr>
        <w:t>py</w:t>
      </w:r>
      <w:proofErr w:type="spellEnd"/>
      <w:r>
        <w:rPr>
          <w:rFonts w:ascii="Arial" w:hAnsi="Arial" w:cs="Arial"/>
          <w:sz w:val="22"/>
          <w:szCs w:val="22"/>
          <w:lang w:val="en-GB"/>
        </w:rPr>
        <w:t xml:space="preserve">) in </w:t>
      </w:r>
      <w:r w:rsidRPr="006D0EEA">
        <w:rPr>
          <w:rFonts w:ascii="Arial" w:hAnsi="Arial" w:cs="Arial"/>
          <w:sz w:val="22"/>
          <w:szCs w:val="22"/>
          <w:lang w:val="en-GB"/>
        </w:rPr>
        <w:t>RISK11+</w:t>
      </w:r>
      <w:r>
        <w:rPr>
          <w:rFonts w:ascii="Arial" w:hAnsi="Arial" w:cs="Arial"/>
          <w:sz w:val="22"/>
          <w:szCs w:val="22"/>
          <w:lang w:val="en-GB"/>
        </w:rPr>
        <w:t xml:space="preserve"> </w:t>
      </w:r>
      <w:r w:rsidRPr="006D0EEA">
        <w:rPr>
          <w:rFonts w:ascii="Arial" w:hAnsi="Arial" w:cs="Arial"/>
          <w:sz w:val="22"/>
          <w:szCs w:val="22"/>
          <w:lang w:val="en-GB"/>
        </w:rPr>
        <w:t>(3HP-)</w:t>
      </w:r>
      <w:r>
        <w:rPr>
          <w:rFonts w:ascii="Arial" w:hAnsi="Arial" w:cs="Arial"/>
          <w:sz w:val="22"/>
          <w:szCs w:val="22"/>
          <w:lang w:val="en-GB"/>
        </w:rPr>
        <w:t xml:space="preserve"> compared to </w:t>
      </w:r>
      <w:r w:rsidRPr="006D0EEA">
        <w:rPr>
          <w:rFonts w:ascii="Arial" w:hAnsi="Arial" w:cs="Arial"/>
          <w:sz w:val="22"/>
          <w:szCs w:val="22"/>
          <w:lang w:val="en-GB"/>
        </w:rPr>
        <w:t xml:space="preserve">RISK11- </w:t>
      </w:r>
      <w:r>
        <w:rPr>
          <w:rFonts w:ascii="Arial" w:hAnsi="Arial" w:cs="Arial"/>
          <w:sz w:val="22"/>
          <w:szCs w:val="22"/>
          <w:lang w:val="en-GB"/>
        </w:rPr>
        <w:t xml:space="preserve">participants [Cumulative </w:t>
      </w:r>
      <w:r w:rsidRPr="006D0EEA">
        <w:rPr>
          <w:rFonts w:ascii="Arial" w:hAnsi="Arial" w:cs="Arial"/>
          <w:sz w:val="22"/>
          <w:szCs w:val="22"/>
          <w:lang w:val="en-GB"/>
        </w:rPr>
        <w:t>Incidence Ratio 2.6</w:t>
      </w:r>
      <w:r>
        <w:rPr>
          <w:rFonts w:ascii="Arial" w:hAnsi="Arial" w:cs="Arial"/>
          <w:sz w:val="22"/>
          <w:szCs w:val="22"/>
          <w:lang w:val="en-GB"/>
        </w:rPr>
        <w:t xml:space="preserve"> (</w:t>
      </w:r>
      <w:r w:rsidRPr="006D0EEA">
        <w:rPr>
          <w:rFonts w:ascii="Arial" w:hAnsi="Arial" w:cs="Arial"/>
          <w:sz w:val="22"/>
          <w:szCs w:val="22"/>
          <w:lang w:val="en-GB"/>
        </w:rPr>
        <w:t>95%CI 1.2-5.9</w:t>
      </w:r>
      <w:r>
        <w:rPr>
          <w:rFonts w:ascii="Arial" w:hAnsi="Arial" w:cs="Arial"/>
          <w:sz w:val="22"/>
          <w:szCs w:val="22"/>
          <w:lang w:val="en-GB"/>
        </w:rPr>
        <w:t>)]. S</w:t>
      </w:r>
      <w:r w:rsidRPr="006A4651">
        <w:rPr>
          <w:rFonts w:ascii="Arial" w:hAnsi="Arial" w:cs="Arial"/>
          <w:sz w:val="22"/>
          <w:szCs w:val="22"/>
          <w:lang w:val="en-GB"/>
        </w:rPr>
        <w:t xml:space="preserve">erious adverse events </w:t>
      </w:r>
      <w:r w:rsidRPr="00144BB1">
        <w:rPr>
          <w:rFonts w:ascii="Arial" w:hAnsi="Arial" w:cs="Arial"/>
          <w:sz w:val="22"/>
          <w:szCs w:val="22"/>
          <w:lang w:val="en-GB"/>
        </w:rPr>
        <w:t>related to 3HP included one hospitalization for seizures (unintentional isoniazid overdose) and one death of unknown cause (possibly temporally related)</w:t>
      </w:r>
      <w:r w:rsidRPr="006A4651">
        <w:rPr>
          <w:rFonts w:ascii="Arial" w:hAnsi="Arial" w:cs="Arial"/>
          <w:sz w:val="22"/>
          <w:szCs w:val="22"/>
          <w:lang w:val="en-GB"/>
        </w:rPr>
        <w:t xml:space="preserve">. </w:t>
      </w:r>
      <w:r w:rsidRPr="008327F9">
        <w:rPr>
          <w:rFonts w:ascii="Arial" w:hAnsi="Arial" w:cs="Arial"/>
          <w:sz w:val="22"/>
          <w:szCs w:val="22"/>
          <w:lang w:val="en-GB"/>
        </w:rPr>
        <w:t>T</w:t>
      </w:r>
      <w:r w:rsidRPr="00314B7C">
        <w:rPr>
          <w:rFonts w:ascii="Arial" w:hAnsi="Arial" w:cs="Arial"/>
          <w:sz w:val="22"/>
          <w:szCs w:val="22"/>
          <w:lang w:val="en-GB"/>
        </w:rPr>
        <w:t>uberculosis i</w:t>
      </w:r>
      <w:r w:rsidRPr="00552682">
        <w:rPr>
          <w:rFonts w:ascii="Arial" w:hAnsi="Arial" w:cs="Arial"/>
          <w:sz w:val="22"/>
          <w:szCs w:val="22"/>
          <w:lang w:val="en-GB"/>
        </w:rPr>
        <w:t>ncidence over 15 months</w:t>
      </w:r>
      <w:r>
        <w:rPr>
          <w:rFonts w:ascii="Arial" w:hAnsi="Arial" w:cs="Arial"/>
          <w:sz w:val="22"/>
          <w:szCs w:val="22"/>
          <w:lang w:val="en-GB"/>
        </w:rPr>
        <w:t xml:space="preserve"> was 1.94 (</w:t>
      </w:r>
      <w:r w:rsidRPr="006D0EEA">
        <w:rPr>
          <w:rFonts w:ascii="Arial" w:hAnsi="Arial" w:cs="Arial"/>
          <w:sz w:val="22"/>
          <w:szCs w:val="22"/>
          <w:lang w:val="en-GB"/>
        </w:rPr>
        <w:t xml:space="preserve">95%CI </w:t>
      </w:r>
      <w:r>
        <w:rPr>
          <w:rFonts w:ascii="Arial" w:hAnsi="Arial" w:cs="Arial"/>
          <w:sz w:val="22"/>
          <w:szCs w:val="22"/>
          <w:lang w:val="en-GB"/>
        </w:rPr>
        <w:t xml:space="preserve">0.35-3.50) vs 2.09 per 100 </w:t>
      </w:r>
      <w:proofErr w:type="spellStart"/>
      <w:r>
        <w:rPr>
          <w:rFonts w:ascii="Arial" w:hAnsi="Arial" w:cs="Arial"/>
          <w:sz w:val="22"/>
          <w:szCs w:val="22"/>
          <w:lang w:val="en-GB"/>
        </w:rPr>
        <w:t>py</w:t>
      </w:r>
      <w:proofErr w:type="spellEnd"/>
      <w:r>
        <w:rPr>
          <w:rFonts w:ascii="Arial" w:hAnsi="Arial" w:cs="Arial"/>
          <w:sz w:val="22"/>
          <w:szCs w:val="22"/>
          <w:lang w:val="en-GB"/>
        </w:rPr>
        <w:t xml:space="preserve"> (</w:t>
      </w:r>
      <w:r w:rsidRPr="006D0EEA">
        <w:rPr>
          <w:rFonts w:ascii="Arial" w:hAnsi="Arial" w:cs="Arial"/>
          <w:sz w:val="22"/>
          <w:szCs w:val="22"/>
          <w:lang w:val="en-GB"/>
        </w:rPr>
        <w:t xml:space="preserve">95%CI </w:t>
      </w:r>
      <w:r>
        <w:rPr>
          <w:rFonts w:ascii="Arial" w:hAnsi="Arial" w:cs="Arial"/>
          <w:sz w:val="22"/>
          <w:szCs w:val="22"/>
          <w:lang w:val="en-GB"/>
        </w:rPr>
        <w:t xml:space="preserve">0.97-3.19) in 3HP-treated compared to untreated RISK11+ participants [efficacy </w:t>
      </w:r>
      <w:r w:rsidRPr="006D0EEA">
        <w:rPr>
          <w:rFonts w:ascii="Arial" w:hAnsi="Arial" w:cs="Arial"/>
          <w:sz w:val="22"/>
          <w:szCs w:val="22"/>
          <w:lang w:val="en-GB"/>
        </w:rPr>
        <w:t>7.0% (95%CI -145 to 65)</w:t>
      </w:r>
      <w:r>
        <w:rPr>
          <w:rFonts w:ascii="Arial" w:hAnsi="Arial" w:cs="Arial"/>
          <w:sz w:val="22"/>
          <w:szCs w:val="22"/>
          <w:lang w:val="en-GB"/>
        </w:rPr>
        <w:t>]</w:t>
      </w:r>
      <w:r w:rsidRPr="006D0EEA">
        <w:rPr>
          <w:rFonts w:ascii="Arial" w:hAnsi="Arial" w:cs="Arial"/>
          <w:sz w:val="22"/>
          <w:szCs w:val="22"/>
          <w:lang w:val="en-GB"/>
        </w:rPr>
        <w:t xml:space="preserve">. </w:t>
      </w:r>
    </w:p>
    <w:p w14:paraId="35E491AA" w14:textId="77777777" w:rsidR="00641776" w:rsidRPr="006D0EEA" w:rsidRDefault="00641776" w:rsidP="00641776">
      <w:pPr>
        <w:pStyle w:val="ListParagraph"/>
        <w:spacing w:before="240"/>
        <w:ind w:left="0"/>
        <w:contextualSpacing w:val="0"/>
        <w:jc w:val="both"/>
        <w:rPr>
          <w:rFonts w:ascii="Arial" w:hAnsi="Arial" w:cs="Arial"/>
          <w:b/>
          <w:bCs/>
          <w:sz w:val="22"/>
          <w:szCs w:val="22"/>
          <w:lang w:val="en-GB"/>
        </w:rPr>
      </w:pPr>
      <w:r>
        <w:rPr>
          <w:rFonts w:ascii="Arial" w:hAnsi="Arial" w:cs="Arial"/>
          <w:b/>
          <w:bCs/>
          <w:sz w:val="22"/>
          <w:szCs w:val="22"/>
          <w:lang w:val="en-GB"/>
        </w:rPr>
        <w:t>Interpretation</w:t>
      </w:r>
    </w:p>
    <w:p w14:paraId="1CB4FC1B" w14:textId="77777777" w:rsidR="00641776" w:rsidRPr="00DC3951" w:rsidRDefault="00641776" w:rsidP="00641776">
      <w:pPr>
        <w:spacing w:line="240" w:lineRule="auto"/>
        <w:jc w:val="both"/>
        <w:rPr>
          <w:rFonts w:ascii="Arial" w:hAnsi="Arial" w:cs="Arial"/>
          <w:i/>
          <w:iCs/>
          <w:lang w:val="en-GB"/>
        </w:rPr>
      </w:pPr>
      <w:r>
        <w:rPr>
          <w:rFonts w:ascii="Arial" w:hAnsi="Arial" w:cs="Arial"/>
          <w:lang w:val="en-GB"/>
        </w:rPr>
        <w:lastRenderedPageBreak/>
        <w:t xml:space="preserve">The </w:t>
      </w:r>
      <w:r w:rsidRPr="006D0EEA">
        <w:rPr>
          <w:rFonts w:ascii="Arial" w:hAnsi="Arial" w:cs="Arial"/>
          <w:lang w:val="en-GB"/>
        </w:rPr>
        <w:t xml:space="preserve">RISK11 </w:t>
      </w:r>
      <w:r>
        <w:rPr>
          <w:rFonts w:ascii="Arial" w:hAnsi="Arial" w:cs="Arial"/>
          <w:lang w:val="en-GB"/>
        </w:rPr>
        <w:t xml:space="preserve">signature discriminated between individuals with prevalent tuberculosis, or progression to incident tuberculosis, and those who remained healthy, but provision of </w:t>
      </w:r>
      <w:r w:rsidRPr="006D0EEA">
        <w:rPr>
          <w:rFonts w:ascii="Arial" w:hAnsi="Arial" w:cs="Arial"/>
          <w:lang w:val="en-GB"/>
        </w:rPr>
        <w:t xml:space="preserve">3HP </w:t>
      </w:r>
      <w:r>
        <w:rPr>
          <w:rFonts w:ascii="Arial" w:hAnsi="Arial" w:cs="Arial"/>
          <w:lang w:val="en-GB"/>
        </w:rPr>
        <w:t xml:space="preserve">to signature-positive individuals after exclusion of baseline disease </w:t>
      </w:r>
      <w:r w:rsidRPr="006D0EEA">
        <w:rPr>
          <w:rFonts w:ascii="Arial" w:hAnsi="Arial" w:cs="Arial"/>
          <w:lang w:val="en-GB"/>
        </w:rPr>
        <w:t>did not reduce progression to tuberculosis over 15 months</w:t>
      </w:r>
      <w:r>
        <w:rPr>
          <w:rFonts w:ascii="Arial" w:hAnsi="Arial" w:cs="Arial"/>
          <w:lang w:val="en-GB"/>
        </w:rPr>
        <w:t xml:space="preserve"> (</w:t>
      </w:r>
      <w:r w:rsidRPr="00171097">
        <w:rPr>
          <w:rFonts w:ascii="Arial" w:hAnsi="Arial" w:cs="Arial"/>
          <w:i/>
          <w:iCs/>
          <w:lang w:val="en-GB"/>
        </w:rPr>
        <w:t>Clinicaltrials.gov ID: NCT02735590</w:t>
      </w:r>
      <w:r>
        <w:rPr>
          <w:rFonts w:ascii="Arial" w:hAnsi="Arial" w:cs="Arial"/>
          <w:i/>
          <w:iCs/>
          <w:lang w:val="en-GB"/>
        </w:rPr>
        <w:t>).</w:t>
      </w:r>
    </w:p>
    <w:p w14:paraId="66384703" w14:textId="77777777" w:rsidR="00641776" w:rsidRPr="006D0EEA" w:rsidRDefault="00641776" w:rsidP="00641776">
      <w:pPr>
        <w:spacing w:line="240" w:lineRule="auto"/>
        <w:jc w:val="both"/>
        <w:rPr>
          <w:rFonts w:ascii="Arial" w:hAnsi="Arial" w:cs="Arial"/>
          <w:b/>
          <w:bCs/>
          <w:lang w:val="en-GB"/>
        </w:rPr>
      </w:pPr>
      <w:r w:rsidRPr="006D0EEA">
        <w:rPr>
          <w:rFonts w:ascii="Arial" w:hAnsi="Arial" w:cs="Arial"/>
          <w:b/>
          <w:bCs/>
          <w:lang w:val="en-GB"/>
        </w:rPr>
        <w:t xml:space="preserve">Funding </w:t>
      </w:r>
    </w:p>
    <w:p w14:paraId="18092891" w14:textId="77777777" w:rsidR="00641776" w:rsidRDefault="00641776" w:rsidP="00641776">
      <w:pPr>
        <w:spacing w:line="240" w:lineRule="auto"/>
        <w:jc w:val="both"/>
        <w:rPr>
          <w:rFonts w:ascii="Arial" w:hAnsi="Arial" w:cs="Arial"/>
          <w:lang w:val="en-GB"/>
        </w:rPr>
      </w:pPr>
      <w:r w:rsidRPr="006D0EEA">
        <w:rPr>
          <w:rFonts w:ascii="Arial" w:hAnsi="Arial" w:cs="Arial"/>
          <w:lang w:val="en-GB"/>
        </w:rPr>
        <w:t>Bill</w:t>
      </w:r>
      <w:r>
        <w:rPr>
          <w:rFonts w:ascii="Arial" w:hAnsi="Arial" w:cs="Arial"/>
          <w:lang w:val="en-GB"/>
        </w:rPr>
        <w:t xml:space="preserve"> </w:t>
      </w:r>
      <w:r w:rsidRPr="006D0EEA">
        <w:rPr>
          <w:rFonts w:ascii="Arial" w:hAnsi="Arial" w:cs="Arial"/>
          <w:lang w:val="en-GB"/>
        </w:rPr>
        <w:t>and Melinda Gates Foundation, South African Medical Research Council</w:t>
      </w:r>
      <w:r>
        <w:rPr>
          <w:rFonts w:ascii="Arial" w:hAnsi="Arial" w:cs="Arial"/>
          <w:lang w:val="en-GB"/>
        </w:rPr>
        <w:t>.</w:t>
      </w:r>
    </w:p>
    <w:p w14:paraId="2E7EAEF5" w14:textId="77777777" w:rsidR="00641776" w:rsidRDefault="00641776" w:rsidP="00641776">
      <w:pPr>
        <w:autoSpaceDE w:val="0"/>
        <w:autoSpaceDN w:val="0"/>
        <w:adjustRightInd w:val="0"/>
        <w:spacing w:after="0" w:line="240" w:lineRule="auto"/>
        <w:rPr>
          <w:rFonts w:ascii="Arial" w:hAnsi="Arial" w:cs="Arial"/>
          <w:sz w:val="24"/>
          <w:szCs w:val="24"/>
        </w:rPr>
      </w:pPr>
    </w:p>
    <w:p w14:paraId="6B4B4E92" w14:textId="77777777" w:rsidR="00BB5F5F" w:rsidRPr="003F5B5A" w:rsidRDefault="00BB5F5F" w:rsidP="00641776">
      <w:pPr>
        <w:pStyle w:val="Default"/>
        <w:rPr>
          <w:b/>
          <w:bCs/>
        </w:rPr>
      </w:pPr>
    </w:p>
    <w:p w14:paraId="355360B8" w14:textId="38028FA7" w:rsidR="00BB5F5F" w:rsidRPr="003F5B5A" w:rsidRDefault="00BB5F5F" w:rsidP="00641776">
      <w:pPr>
        <w:pStyle w:val="Heading1"/>
        <w:spacing w:line="240" w:lineRule="auto"/>
        <w:rPr>
          <w:rFonts w:cs="Arial"/>
          <w:sz w:val="24"/>
          <w:szCs w:val="24"/>
        </w:rPr>
      </w:pPr>
      <w:bookmarkStart w:id="1" w:name="_Toc36810841"/>
      <w:r w:rsidRPr="003F5B5A">
        <w:rPr>
          <w:rFonts w:cs="Arial"/>
          <w:sz w:val="24"/>
          <w:szCs w:val="24"/>
        </w:rPr>
        <w:t>Privacy of Information disclosed</w:t>
      </w:r>
      <w:bookmarkEnd w:id="1"/>
    </w:p>
    <w:p w14:paraId="06541A51" w14:textId="77777777" w:rsidR="00BB5F5F" w:rsidRPr="003F5B5A" w:rsidRDefault="00BB5F5F" w:rsidP="00641776">
      <w:pPr>
        <w:autoSpaceDE w:val="0"/>
        <w:autoSpaceDN w:val="0"/>
        <w:adjustRightInd w:val="0"/>
        <w:spacing w:after="0" w:line="240" w:lineRule="auto"/>
        <w:rPr>
          <w:rFonts w:ascii="Arial" w:hAnsi="Arial" w:cs="Arial"/>
          <w:sz w:val="24"/>
          <w:szCs w:val="24"/>
        </w:rPr>
      </w:pPr>
      <w:r w:rsidRPr="003F5B5A">
        <w:rPr>
          <w:rFonts w:ascii="Arial" w:hAnsi="Arial" w:cs="Arial"/>
          <w:sz w:val="24"/>
          <w:szCs w:val="24"/>
        </w:rPr>
        <w:t>While the Fred Hutchinson Cancer Research Center and by extension the Statistical Center for HIV/AIDS Research and Prevention (SCHARP) is not a covered entity regarding HIPAA requirements, SCHARP uses the 'limited dataset' model as described in HIPAA when publishing public use datasets. This limited Dataset is used for public health and research purposes only. No personal identifying information is used in the Datasets, such as names or social security numbers. The Dataset uses its own unique identifiers that cannot identify the research participants (i.e., the Dataset identifiers are not participant IDs used in the research). SCHARP staff is trained on and sign an agreement to follow SCHARP's privacy and confidentiality policy.</w:t>
      </w:r>
    </w:p>
    <w:p w14:paraId="63825257" w14:textId="77777777" w:rsidR="00BB5F5F" w:rsidRPr="003F5B5A" w:rsidRDefault="00BB5F5F" w:rsidP="00641776">
      <w:pPr>
        <w:autoSpaceDE w:val="0"/>
        <w:autoSpaceDN w:val="0"/>
        <w:adjustRightInd w:val="0"/>
        <w:spacing w:after="0" w:line="240" w:lineRule="auto"/>
        <w:rPr>
          <w:rFonts w:ascii="Arial" w:hAnsi="Arial" w:cs="Arial"/>
          <w:sz w:val="24"/>
          <w:szCs w:val="24"/>
        </w:rPr>
      </w:pPr>
    </w:p>
    <w:p w14:paraId="199DC74C" w14:textId="77777777" w:rsidR="00BB5F5F" w:rsidRPr="003F5B5A" w:rsidRDefault="00BB5F5F" w:rsidP="00641776">
      <w:pPr>
        <w:autoSpaceDE w:val="0"/>
        <w:autoSpaceDN w:val="0"/>
        <w:adjustRightInd w:val="0"/>
        <w:spacing w:after="0" w:line="240" w:lineRule="auto"/>
        <w:rPr>
          <w:rFonts w:ascii="Arial" w:hAnsi="Arial" w:cs="Arial"/>
          <w:sz w:val="24"/>
          <w:szCs w:val="24"/>
        </w:rPr>
      </w:pPr>
      <w:r w:rsidRPr="003F5B5A">
        <w:rPr>
          <w:rFonts w:ascii="Arial" w:hAnsi="Arial" w:cs="Arial"/>
          <w:sz w:val="24"/>
          <w:szCs w:val="24"/>
        </w:rPr>
        <w:t>These procedures comply with relevant models required in FDA regulations such as Title 21 CFR Parts 20, 21, 803, Title 45 CFR Part 164.514(e)(3)(i), and as recommended in Good Clinical Data Management Practices (GCDMP) defined by the Society of Data Quality Management.</w:t>
      </w:r>
    </w:p>
    <w:p w14:paraId="759A2391" w14:textId="7C40EC92" w:rsidR="00BB5F5F" w:rsidRPr="003F5B5A" w:rsidRDefault="00BB5F5F" w:rsidP="00641776">
      <w:pPr>
        <w:autoSpaceDE w:val="0"/>
        <w:autoSpaceDN w:val="0"/>
        <w:adjustRightInd w:val="0"/>
        <w:spacing w:after="0" w:line="240" w:lineRule="auto"/>
        <w:rPr>
          <w:rFonts w:ascii="Arial" w:hAnsi="Arial" w:cs="Arial"/>
          <w:sz w:val="24"/>
          <w:szCs w:val="24"/>
          <w:lang w:val="en-ZA"/>
        </w:rPr>
      </w:pPr>
    </w:p>
    <w:p w14:paraId="61C08BEE" w14:textId="32C52312" w:rsidR="00BB5F5F" w:rsidRPr="003F5B5A" w:rsidRDefault="00BB5F5F" w:rsidP="00641776">
      <w:pPr>
        <w:autoSpaceDE w:val="0"/>
        <w:autoSpaceDN w:val="0"/>
        <w:adjustRightInd w:val="0"/>
        <w:spacing w:after="0" w:line="240" w:lineRule="auto"/>
        <w:rPr>
          <w:rFonts w:ascii="Arial" w:hAnsi="Arial" w:cs="Arial"/>
          <w:sz w:val="24"/>
          <w:szCs w:val="24"/>
          <w:lang w:val="en-ZA"/>
        </w:rPr>
      </w:pPr>
    </w:p>
    <w:p w14:paraId="42065EF9" w14:textId="554DC9D7" w:rsidR="00BB5F5F" w:rsidRPr="003F5B5A" w:rsidRDefault="00BB5F5F" w:rsidP="00641776">
      <w:pPr>
        <w:pStyle w:val="Heading1"/>
        <w:spacing w:line="240" w:lineRule="auto"/>
        <w:rPr>
          <w:rFonts w:cs="Arial"/>
          <w:sz w:val="24"/>
          <w:szCs w:val="24"/>
        </w:rPr>
      </w:pPr>
      <w:bookmarkStart w:id="2" w:name="_Toc36810842"/>
      <w:r w:rsidRPr="003F5B5A">
        <w:rPr>
          <w:rFonts w:cs="Arial"/>
          <w:sz w:val="24"/>
          <w:szCs w:val="24"/>
        </w:rPr>
        <w:t>Subject-Level Dataset Data Dictionary with Example Values</w:t>
      </w:r>
      <w:bookmarkEnd w:id="2"/>
      <w:r w:rsidRPr="003F5B5A">
        <w:rPr>
          <w:rFonts w:cs="Arial"/>
          <w:sz w:val="24"/>
          <w:szCs w:val="24"/>
        </w:rPr>
        <w:t xml:space="preserve"> </w:t>
      </w:r>
    </w:p>
    <w:p w14:paraId="09764A15" w14:textId="77777777" w:rsidR="00BB5F5F" w:rsidRPr="003F5B5A" w:rsidRDefault="00BB5F5F" w:rsidP="00641776">
      <w:pPr>
        <w:pStyle w:val="Default"/>
        <w:rPr>
          <w:b/>
          <w:b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3060"/>
        <w:gridCol w:w="1080"/>
        <w:gridCol w:w="2610"/>
      </w:tblGrid>
      <w:tr w:rsidR="00BB5F5F" w:rsidRPr="003F5B5A" w14:paraId="695C6A21" w14:textId="77777777" w:rsidTr="00AD4516">
        <w:trPr>
          <w:trHeight w:val="111"/>
          <w:tblHeader/>
        </w:trPr>
        <w:tc>
          <w:tcPr>
            <w:tcW w:w="2875" w:type="dxa"/>
            <w:shd w:val="clear" w:color="auto" w:fill="F2F2F2" w:themeFill="background1" w:themeFillShade="F2"/>
            <w:hideMark/>
          </w:tcPr>
          <w:p w14:paraId="1A04B005" w14:textId="77777777" w:rsidR="00BB5F5F" w:rsidRPr="00CE6F7F" w:rsidRDefault="00BB5F5F" w:rsidP="00641776">
            <w:pPr>
              <w:spacing w:line="240" w:lineRule="auto"/>
              <w:rPr>
                <w:rFonts w:ascii="Arial" w:hAnsi="Arial" w:cs="Arial"/>
                <w:b/>
                <w:bCs/>
                <w:sz w:val="24"/>
                <w:szCs w:val="24"/>
              </w:rPr>
            </w:pPr>
            <w:bookmarkStart w:id="3" w:name="_Hlk31881259"/>
            <w:r w:rsidRPr="00CE6F7F">
              <w:rPr>
                <w:rFonts w:ascii="Arial" w:hAnsi="Arial" w:cs="Arial"/>
                <w:b/>
                <w:bCs/>
                <w:sz w:val="24"/>
                <w:szCs w:val="24"/>
              </w:rPr>
              <w:t>Variable Name</w:t>
            </w:r>
          </w:p>
        </w:tc>
        <w:tc>
          <w:tcPr>
            <w:tcW w:w="3060" w:type="dxa"/>
            <w:shd w:val="clear" w:color="auto" w:fill="F2F2F2" w:themeFill="background1" w:themeFillShade="F2"/>
            <w:hideMark/>
          </w:tcPr>
          <w:p w14:paraId="40E15F9F" w14:textId="77777777" w:rsidR="00BB5F5F" w:rsidRPr="00CE6F7F" w:rsidRDefault="00BB5F5F" w:rsidP="00641776">
            <w:pPr>
              <w:spacing w:line="240" w:lineRule="auto"/>
              <w:rPr>
                <w:rFonts w:ascii="Arial" w:hAnsi="Arial" w:cs="Arial"/>
                <w:b/>
                <w:bCs/>
                <w:sz w:val="24"/>
                <w:szCs w:val="24"/>
              </w:rPr>
            </w:pPr>
            <w:r w:rsidRPr="00CE6F7F">
              <w:rPr>
                <w:rFonts w:ascii="Arial" w:hAnsi="Arial" w:cs="Arial"/>
                <w:b/>
                <w:bCs/>
                <w:sz w:val="24"/>
                <w:szCs w:val="24"/>
              </w:rPr>
              <w:t>Variable Description</w:t>
            </w:r>
          </w:p>
        </w:tc>
        <w:tc>
          <w:tcPr>
            <w:tcW w:w="1080" w:type="dxa"/>
            <w:shd w:val="clear" w:color="auto" w:fill="F2F2F2" w:themeFill="background1" w:themeFillShade="F2"/>
          </w:tcPr>
          <w:p w14:paraId="211E2C42" w14:textId="77777777" w:rsidR="00BB5F5F" w:rsidRPr="00CE6F7F" w:rsidRDefault="00BB5F5F" w:rsidP="00641776">
            <w:pPr>
              <w:spacing w:line="240" w:lineRule="auto"/>
              <w:rPr>
                <w:rFonts w:ascii="Arial" w:hAnsi="Arial" w:cs="Arial"/>
                <w:b/>
                <w:bCs/>
                <w:sz w:val="24"/>
                <w:szCs w:val="24"/>
              </w:rPr>
            </w:pPr>
            <w:r w:rsidRPr="00CE6F7F">
              <w:rPr>
                <w:rFonts w:ascii="Arial" w:hAnsi="Arial" w:cs="Arial"/>
                <w:b/>
                <w:bCs/>
                <w:sz w:val="24"/>
                <w:szCs w:val="24"/>
              </w:rPr>
              <w:t>Format</w:t>
            </w:r>
          </w:p>
        </w:tc>
        <w:tc>
          <w:tcPr>
            <w:tcW w:w="2610" w:type="dxa"/>
            <w:shd w:val="clear" w:color="auto" w:fill="F2F2F2" w:themeFill="background1" w:themeFillShade="F2"/>
            <w:hideMark/>
          </w:tcPr>
          <w:p w14:paraId="1D949D1F" w14:textId="77777777" w:rsidR="00BB5F5F" w:rsidRPr="00CE6F7F" w:rsidRDefault="00BB5F5F" w:rsidP="00641776">
            <w:pPr>
              <w:spacing w:line="240" w:lineRule="auto"/>
              <w:rPr>
                <w:rFonts w:ascii="Arial" w:hAnsi="Arial" w:cs="Arial"/>
                <w:b/>
                <w:bCs/>
                <w:sz w:val="24"/>
                <w:szCs w:val="24"/>
              </w:rPr>
            </w:pPr>
            <w:r w:rsidRPr="00CE6F7F">
              <w:rPr>
                <w:rFonts w:ascii="Arial" w:hAnsi="Arial" w:cs="Arial"/>
                <w:b/>
                <w:bCs/>
                <w:sz w:val="24"/>
                <w:szCs w:val="24"/>
              </w:rPr>
              <w:t>Example Values</w:t>
            </w:r>
          </w:p>
        </w:tc>
      </w:tr>
      <w:tr w:rsidR="00BB5F5F" w:rsidRPr="003F5B5A" w14:paraId="694F9630" w14:textId="77777777" w:rsidTr="00AD4516">
        <w:trPr>
          <w:trHeight w:val="109"/>
        </w:trPr>
        <w:tc>
          <w:tcPr>
            <w:tcW w:w="2875" w:type="dxa"/>
            <w:shd w:val="clear" w:color="auto" w:fill="auto"/>
            <w:hideMark/>
          </w:tcPr>
          <w:p w14:paraId="196052DA" w14:textId="77777777" w:rsidR="00BB5F5F" w:rsidRPr="00CE6F7F" w:rsidRDefault="00BB5F5F" w:rsidP="00641776">
            <w:pPr>
              <w:spacing w:line="240" w:lineRule="auto"/>
              <w:jc w:val="both"/>
              <w:rPr>
                <w:rFonts w:ascii="Arial" w:hAnsi="Arial" w:cs="Arial"/>
                <w:sz w:val="20"/>
                <w:szCs w:val="20"/>
              </w:rPr>
            </w:pPr>
            <w:r w:rsidRPr="00CE6F7F">
              <w:rPr>
                <w:rFonts w:ascii="Arial" w:hAnsi="Arial" w:cs="Arial"/>
                <w:sz w:val="20"/>
                <w:szCs w:val="20"/>
              </w:rPr>
              <w:t xml:space="preserve">1) </w:t>
            </w:r>
            <w:proofErr w:type="spellStart"/>
            <w:r w:rsidRPr="00CE6F7F">
              <w:rPr>
                <w:rFonts w:ascii="Arial" w:hAnsi="Arial" w:cs="Arial"/>
                <w:sz w:val="20"/>
                <w:szCs w:val="20"/>
              </w:rPr>
              <w:t>pubid</w:t>
            </w:r>
            <w:proofErr w:type="spellEnd"/>
          </w:p>
        </w:tc>
        <w:tc>
          <w:tcPr>
            <w:tcW w:w="3060" w:type="dxa"/>
            <w:shd w:val="clear" w:color="auto" w:fill="auto"/>
            <w:hideMark/>
          </w:tcPr>
          <w:p w14:paraId="1F572706"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Unique identification number for each subject in trial</w:t>
            </w:r>
          </w:p>
        </w:tc>
        <w:tc>
          <w:tcPr>
            <w:tcW w:w="1080" w:type="dxa"/>
          </w:tcPr>
          <w:p w14:paraId="6D80E300" w14:textId="77777777" w:rsidR="00BB5F5F" w:rsidRPr="00CE6F7F" w:rsidRDefault="00BB5F5F" w:rsidP="00641776">
            <w:pPr>
              <w:spacing w:line="240" w:lineRule="auto"/>
              <w:ind w:left="360"/>
              <w:rPr>
                <w:rFonts w:ascii="Arial" w:hAnsi="Arial" w:cs="Arial"/>
                <w:sz w:val="20"/>
                <w:szCs w:val="20"/>
              </w:rPr>
            </w:pPr>
            <w:r w:rsidRPr="00CE6F7F">
              <w:rPr>
                <w:rFonts w:ascii="Arial" w:hAnsi="Arial" w:cs="Arial"/>
                <w:sz w:val="20"/>
                <w:szCs w:val="20"/>
              </w:rPr>
              <w:t>char</w:t>
            </w:r>
          </w:p>
          <w:p w14:paraId="04915E54" w14:textId="77777777" w:rsidR="00BB5F5F" w:rsidRPr="00CE6F7F" w:rsidRDefault="00BB5F5F" w:rsidP="00641776">
            <w:pPr>
              <w:spacing w:line="240" w:lineRule="auto"/>
              <w:ind w:left="360"/>
              <w:rPr>
                <w:rFonts w:ascii="Arial" w:hAnsi="Arial" w:cs="Arial"/>
                <w:sz w:val="20"/>
                <w:szCs w:val="20"/>
              </w:rPr>
            </w:pPr>
          </w:p>
        </w:tc>
        <w:tc>
          <w:tcPr>
            <w:tcW w:w="2610" w:type="dxa"/>
            <w:shd w:val="clear" w:color="auto" w:fill="auto"/>
            <w:hideMark/>
          </w:tcPr>
          <w:p w14:paraId="57DC8293" w14:textId="77777777" w:rsidR="00BB5F5F" w:rsidRPr="00CE6F7F" w:rsidRDefault="00BB5F5F" w:rsidP="00641776">
            <w:pPr>
              <w:pStyle w:val="ListParagraph"/>
              <w:numPr>
                <w:ilvl w:val="0"/>
                <w:numId w:val="1"/>
              </w:numPr>
              <w:rPr>
                <w:rFonts w:ascii="Arial" w:hAnsi="Arial" w:cs="Arial"/>
              </w:rPr>
            </w:pPr>
            <w:r w:rsidRPr="00CE6F7F">
              <w:rPr>
                <w:rFonts w:ascii="Arial" w:hAnsi="Arial" w:cs="Arial"/>
              </w:rPr>
              <w:t xml:space="preserve">100001, </w:t>
            </w:r>
          </w:p>
          <w:p w14:paraId="418A14DF" w14:textId="77777777" w:rsidR="00BB5F5F" w:rsidRPr="00CE6F7F" w:rsidRDefault="00BB5F5F" w:rsidP="00641776">
            <w:pPr>
              <w:pStyle w:val="ListParagraph"/>
              <w:numPr>
                <w:ilvl w:val="0"/>
                <w:numId w:val="1"/>
              </w:numPr>
              <w:rPr>
                <w:rFonts w:ascii="Arial" w:hAnsi="Arial" w:cs="Arial"/>
              </w:rPr>
            </w:pPr>
            <w:r w:rsidRPr="00CE6F7F">
              <w:rPr>
                <w:rFonts w:ascii="Arial" w:hAnsi="Arial" w:cs="Arial"/>
              </w:rPr>
              <w:t>356282 …</w:t>
            </w:r>
          </w:p>
        </w:tc>
      </w:tr>
      <w:tr w:rsidR="00BB5F5F" w:rsidRPr="003F5B5A" w14:paraId="3F310D82" w14:textId="77777777" w:rsidTr="00AD4516">
        <w:trPr>
          <w:trHeight w:val="267"/>
        </w:trPr>
        <w:tc>
          <w:tcPr>
            <w:tcW w:w="2875" w:type="dxa"/>
            <w:shd w:val="clear" w:color="auto" w:fill="auto"/>
            <w:hideMark/>
          </w:tcPr>
          <w:p w14:paraId="2D418DD9"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2) group</w:t>
            </w:r>
          </w:p>
        </w:tc>
        <w:tc>
          <w:tcPr>
            <w:tcW w:w="3060" w:type="dxa"/>
            <w:shd w:val="clear" w:color="auto" w:fill="auto"/>
            <w:hideMark/>
          </w:tcPr>
          <w:p w14:paraId="46EB9293"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Indicator for Treatment/Observation group</w:t>
            </w:r>
          </w:p>
        </w:tc>
        <w:tc>
          <w:tcPr>
            <w:tcW w:w="1080" w:type="dxa"/>
          </w:tcPr>
          <w:p w14:paraId="5662FBF3" w14:textId="77777777" w:rsidR="00BB5F5F" w:rsidRPr="00CE6F7F" w:rsidRDefault="00BB5F5F" w:rsidP="00641776">
            <w:pPr>
              <w:spacing w:line="240" w:lineRule="auto"/>
              <w:ind w:left="360"/>
              <w:rPr>
                <w:rFonts w:ascii="Arial" w:hAnsi="Arial" w:cs="Arial"/>
                <w:sz w:val="20"/>
                <w:szCs w:val="20"/>
              </w:rPr>
            </w:pPr>
            <w:r w:rsidRPr="00CE6F7F">
              <w:rPr>
                <w:rFonts w:ascii="Arial" w:hAnsi="Arial" w:cs="Arial"/>
                <w:sz w:val="20"/>
                <w:szCs w:val="20"/>
              </w:rPr>
              <w:t>char</w:t>
            </w:r>
          </w:p>
          <w:p w14:paraId="2E687E5B" w14:textId="77777777" w:rsidR="00BB5F5F" w:rsidRPr="00CE6F7F" w:rsidRDefault="00BB5F5F" w:rsidP="00641776">
            <w:pPr>
              <w:spacing w:line="240" w:lineRule="auto"/>
              <w:ind w:left="360"/>
              <w:rPr>
                <w:rFonts w:ascii="Arial" w:hAnsi="Arial" w:cs="Arial"/>
                <w:sz w:val="20"/>
                <w:szCs w:val="20"/>
              </w:rPr>
            </w:pPr>
          </w:p>
        </w:tc>
        <w:tc>
          <w:tcPr>
            <w:tcW w:w="2610" w:type="dxa"/>
            <w:shd w:val="clear" w:color="auto" w:fill="auto"/>
          </w:tcPr>
          <w:p w14:paraId="79C4442B" w14:textId="77777777" w:rsidR="00BB5F5F" w:rsidRPr="00CE6F7F" w:rsidRDefault="00BB5F5F" w:rsidP="00641776">
            <w:pPr>
              <w:pStyle w:val="ListParagraph"/>
              <w:numPr>
                <w:ilvl w:val="0"/>
                <w:numId w:val="5"/>
              </w:numPr>
              <w:rPr>
                <w:rFonts w:ascii="Arial" w:hAnsi="Arial" w:cs="Arial"/>
              </w:rPr>
            </w:pPr>
            <w:r w:rsidRPr="00CE6F7F">
              <w:rPr>
                <w:rFonts w:ascii="Arial" w:hAnsi="Arial" w:cs="Arial"/>
              </w:rPr>
              <w:t xml:space="preserve">“RISK11+/3HP+”, </w:t>
            </w:r>
          </w:p>
          <w:p w14:paraId="79782106" w14:textId="77777777" w:rsidR="00BB5F5F" w:rsidRPr="00CE6F7F" w:rsidRDefault="00BB5F5F" w:rsidP="00641776">
            <w:pPr>
              <w:pStyle w:val="ListParagraph"/>
              <w:numPr>
                <w:ilvl w:val="0"/>
                <w:numId w:val="5"/>
              </w:numPr>
              <w:rPr>
                <w:rFonts w:ascii="Arial" w:hAnsi="Arial" w:cs="Arial"/>
              </w:rPr>
            </w:pPr>
            <w:r w:rsidRPr="00CE6F7F">
              <w:rPr>
                <w:rFonts w:ascii="Arial" w:hAnsi="Arial" w:cs="Arial"/>
              </w:rPr>
              <w:t xml:space="preserve">“RISK11+/3HP-”, </w:t>
            </w:r>
          </w:p>
          <w:p w14:paraId="1097E9AE" w14:textId="77777777" w:rsidR="00BB5F5F" w:rsidRPr="00CE6F7F" w:rsidRDefault="00BB5F5F" w:rsidP="00641776">
            <w:pPr>
              <w:pStyle w:val="ListParagraph"/>
              <w:numPr>
                <w:ilvl w:val="0"/>
                <w:numId w:val="5"/>
              </w:numPr>
              <w:rPr>
                <w:rFonts w:ascii="Arial" w:hAnsi="Arial" w:cs="Arial"/>
              </w:rPr>
            </w:pPr>
            <w:r w:rsidRPr="00CE6F7F">
              <w:rPr>
                <w:rFonts w:ascii="Arial" w:hAnsi="Arial" w:cs="Arial"/>
              </w:rPr>
              <w:t xml:space="preserve">“RISK11-/3HP-” </w:t>
            </w:r>
          </w:p>
          <w:p w14:paraId="2EEC6D7C" w14:textId="77777777" w:rsidR="00BB5F5F" w:rsidRPr="00CE6F7F" w:rsidRDefault="00BB5F5F" w:rsidP="00641776">
            <w:pPr>
              <w:pStyle w:val="HTMLPreformatted"/>
              <w:shd w:val="clear" w:color="auto" w:fill="FFFFFF"/>
              <w:ind w:left="360"/>
              <w:rPr>
                <w:rFonts w:ascii="Arial" w:hAnsi="Arial" w:cs="Arial"/>
                <w:color w:val="000000"/>
              </w:rPr>
            </w:pPr>
            <w:r w:rsidRPr="00CE6F7F">
              <w:rPr>
                <w:rFonts w:ascii="Arial" w:hAnsi="Arial" w:cs="Arial"/>
              </w:rPr>
              <w:t>4.     NA</w:t>
            </w:r>
          </w:p>
        </w:tc>
      </w:tr>
      <w:tr w:rsidR="00BB5F5F" w:rsidRPr="003F5B5A" w14:paraId="3A0E48BD" w14:textId="77777777" w:rsidTr="00AD4516">
        <w:trPr>
          <w:trHeight w:val="109"/>
        </w:trPr>
        <w:tc>
          <w:tcPr>
            <w:tcW w:w="2875" w:type="dxa"/>
            <w:shd w:val="clear" w:color="auto" w:fill="auto"/>
            <w:hideMark/>
          </w:tcPr>
          <w:p w14:paraId="57DFF770"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 xml:space="preserve">3) </w:t>
            </w:r>
            <w:proofErr w:type="spellStart"/>
            <w:r w:rsidRPr="00CE6F7F">
              <w:rPr>
                <w:rFonts w:ascii="Arial" w:hAnsi="Arial" w:cs="Arial"/>
                <w:sz w:val="20"/>
                <w:szCs w:val="20"/>
              </w:rPr>
              <w:t>itt</w:t>
            </w:r>
            <w:proofErr w:type="spellEnd"/>
          </w:p>
        </w:tc>
        <w:tc>
          <w:tcPr>
            <w:tcW w:w="3060" w:type="dxa"/>
            <w:shd w:val="clear" w:color="auto" w:fill="auto"/>
            <w:hideMark/>
          </w:tcPr>
          <w:p w14:paraId="46245AE7"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Binary indicator for ITT cohort</w:t>
            </w:r>
          </w:p>
        </w:tc>
        <w:tc>
          <w:tcPr>
            <w:tcW w:w="1080" w:type="dxa"/>
          </w:tcPr>
          <w:p w14:paraId="7BC03A3D" w14:textId="77777777" w:rsidR="00BB5F5F" w:rsidRPr="00CE6F7F" w:rsidRDefault="00BB5F5F" w:rsidP="00641776">
            <w:pPr>
              <w:spacing w:line="240" w:lineRule="auto"/>
              <w:ind w:left="360"/>
              <w:rPr>
                <w:rFonts w:ascii="Arial" w:hAnsi="Arial" w:cs="Arial"/>
                <w:sz w:val="20"/>
                <w:szCs w:val="20"/>
              </w:rPr>
            </w:pPr>
            <w:r w:rsidRPr="00CE6F7F">
              <w:rPr>
                <w:rFonts w:ascii="Arial" w:hAnsi="Arial" w:cs="Arial"/>
                <w:sz w:val="20"/>
                <w:szCs w:val="20"/>
              </w:rPr>
              <w:t>int</w:t>
            </w:r>
          </w:p>
        </w:tc>
        <w:tc>
          <w:tcPr>
            <w:tcW w:w="2610" w:type="dxa"/>
            <w:shd w:val="clear" w:color="auto" w:fill="auto"/>
          </w:tcPr>
          <w:p w14:paraId="18872CB3" w14:textId="77777777" w:rsidR="00BB5F5F" w:rsidRPr="00CE6F7F" w:rsidRDefault="00BB5F5F" w:rsidP="00641776">
            <w:pPr>
              <w:pStyle w:val="ListParagraph"/>
              <w:numPr>
                <w:ilvl w:val="0"/>
                <w:numId w:val="7"/>
              </w:numPr>
              <w:rPr>
                <w:rFonts w:ascii="Arial" w:hAnsi="Arial" w:cs="Arial"/>
              </w:rPr>
            </w:pPr>
            <w:r w:rsidRPr="00CE6F7F">
              <w:rPr>
                <w:rFonts w:ascii="Arial" w:hAnsi="Arial" w:cs="Arial"/>
              </w:rPr>
              <w:t>0,</w:t>
            </w:r>
          </w:p>
          <w:p w14:paraId="14CA904B" w14:textId="77777777" w:rsidR="00BB5F5F" w:rsidRPr="00CE6F7F" w:rsidRDefault="00BB5F5F" w:rsidP="00641776">
            <w:pPr>
              <w:pStyle w:val="ListParagraph"/>
              <w:numPr>
                <w:ilvl w:val="0"/>
                <w:numId w:val="7"/>
              </w:numPr>
              <w:rPr>
                <w:rFonts w:ascii="Arial" w:hAnsi="Arial" w:cs="Arial"/>
              </w:rPr>
            </w:pPr>
            <w:r w:rsidRPr="00CE6F7F">
              <w:rPr>
                <w:rFonts w:ascii="Arial" w:hAnsi="Arial" w:cs="Arial"/>
              </w:rPr>
              <w:t>1</w:t>
            </w:r>
            <w:r w:rsidRPr="00CE6F7F" w:rsidDel="003730C9">
              <w:rPr>
                <w:rFonts w:ascii="Arial" w:hAnsi="Arial" w:cs="Arial"/>
              </w:rPr>
              <w:t xml:space="preserve"> </w:t>
            </w:r>
          </w:p>
        </w:tc>
      </w:tr>
      <w:tr w:rsidR="00BB5F5F" w:rsidRPr="003F5B5A" w14:paraId="57DD731D" w14:textId="77777777" w:rsidTr="00AD4516">
        <w:trPr>
          <w:trHeight w:val="109"/>
        </w:trPr>
        <w:tc>
          <w:tcPr>
            <w:tcW w:w="2875" w:type="dxa"/>
            <w:shd w:val="clear" w:color="auto" w:fill="auto"/>
            <w:hideMark/>
          </w:tcPr>
          <w:p w14:paraId="51095D0A"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 xml:space="preserve">4) </w:t>
            </w:r>
            <w:proofErr w:type="spellStart"/>
            <w:r w:rsidRPr="00CE6F7F">
              <w:rPr>
                <w:rFonts w:ascii="Arial" w:hAnsi="Arial" w:cs="Arial"/>
                <w:sz w:val="20"/>
                <w:szCs w:val="20"/>
              </w:rPr>
              <w:t>mitt_osts</w:t>
            </w:r>
            <w:proofErr w:type="spellEnd"/>
          </w:p>
        </w:tc>
        <w:tc>
          <w:tcPr>
            <w:tcW w:w="3060" w:type="dxa"/>
            <w:shd w:val="clear" w:color="auto" w:fill="auto"/>
            <w:hideMark/>
          </w:tcPr>
          <w:p w14:paraId="6F43356D"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 xml:space="preserve">Binary Indicator for </w:t>
            </w:r>
            <w:proofErr w:type="spellStart"/>
            <w:r w:rsidRPr="00CE6F7F">
              <w:rPr>
                <w:rFonts w:ascii="Arial" w:hAnsi="Arial" w:cs="Arial"/>
                <w:sz w:val="20"/>
                <w:szCs w:val="20"/>
              </w:rPr>
              <w:t>mITT.OSTS</w:t>
            </w:r>
            <w:proofErr w:type="spellEnd"/>
            <w:r w:rsidRPr="00CE6F7F">
              <w:rPr>
                <w:rFonts w:ascii="Arial" w:hAnsi="Arial" w:cs="Arial"/>
                <w:sz w:val="20"/>
                <w:szCs w:val="20"/>
              </w:rPr>
              <w:t xml:space="preserve"> cohort (subjects in ITT cohort that were not Prevalent TB cases by the one or two-sample definition and had a follow-up time of &gt;0)</w:t>
            </w:r>
          </w:p>
        </w:tc>
        <w:tc>
          <w:tcPr>
            <w:tcW w:w="1080" w:type="dxa"/>
          </w:tcPr>
          <w:p w14:paraId="00658CEA" w14:textId="77777777" w:rsidR="00BB5F5F" w:rsidRPr="00CE6F7F" w:rsidRDefault="00BB5F5F" w:rsidP="00641776">
            <w:pPr>
              <w:spacing w:line="240" w:lineRule="auto"/>
              <w:ind w:left="360"/>
              <w:rPr>
                <w:rFonts w:ascii="Arial" w:hAnsi="Arial" w:cs="Arial"/>
                <w:sz w:val="20"/>
                <w:szCs w:val="20"/>
              </w:rPr>
            </w:pPr>
            <w:r w:rsidRPr="00CE6F7F">
              <w:rPr>
                <w:rFonts w:ascii="Arial" w:hAnsi="Arial" w:cs="Arial"/>
                <w:sz w:val="20"/>
                <w:szCs w:val="20"/>
              </w:rPr>
              <w:t>int</w:t>
            </w:r>
          </w:p>
        </w:tc>
        <w:tc>
          <w:tcPr>
            <w:tcW w:w="2610" w:type="dxa"/>
            <w:shd w:val="clear" w:color="auto" w:fill="auto"/>
          </w:tcPr>
          <w:p w14:paraId="52DB994A" w14:textId="77777777" w:rsidR="00BB5F5F" w:rsidRPr="00CE6F7F" w:rsidRDefault="00BB5F5F" w:rsidP="00641776">
            <w:pPr>
              <w:pStyle w:val="ListParagraph"/>
              <w:numPr>
                <w:ilvl w:val="0"/>
                <w:numId w:val="14"/>
              </w:numPr>
              <w:rPr>
                <w:rFonts w:ascii="Arial" w:hAnsi="Arial" w:cs="Arial"/>
                <w:color w:val="000000"/>
              </w:rPr>
            </w:pPr>
            <w:r w:rsidRPr="00CE6F7F">
              <w:rPr>
                <w:rFonts w:ascii="Arial" w:hAnsi="Arial" w:cs="Arial"/>
              </w:rPr>
              <w:t>0,</w:t>
            </w:r>
          </w:p>
          <w:p w14:paraId="4D949323" w14:textId="77777777" w:rsidR="00BB5F5F" w:rsidRPr="00CE6F7F" w:rsidRDefault="00BB5F5F" w:rsidP="00641776">
            <w:pPr>
              <w:pStyle w:val="ListParagraph"/>
              <w:numPr>
                <w:ilvl w:val="0"/>
                <w:numId w:val="14"/>
              </w:numPr>
              <w:rPr>
                <w:rFonts w:ascii="Arial" w:hAnsi="Arial" w:cs="Arial"/>
                <w:color w:val="000000"/>
              </w:rPr>
            </w:pPr>
            <w:r w:rsidRPr="00CE6F7F">
              <w:rPr>
                <w:rFonts w:ascii="Arial" w:hAnsi="Arial" w:cs="Arial"/>
              </w:rPr>
              <w:t>1</w:t>
            </w:r>
          </w:p>
        </w:tc>
      </w:tr>
      <w:tr w:rsidR="00BB5F5F" w:rsidRPr="003F5B5A" w14:paraId="55694379" w14:textId="77777777" w:rsidTr="00AD4516">
        <w:trPr>
          <w:trHeight w:val="109"/>
        </w:trPr>
        <w:tc>
          <w:tcPr>
            <w:tcW w:w="2875" w:type="dxa"/>
            <w:shd w:val="clear" w:color="auto" w:fill="auto"/>
            <w:hideMark/>
          </w:tcPr>
          <w:p w14:paraId="659611B9"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 xml:space="preserve">5) </w:t>
            </w:r>
            <w:proofErr w:type="spellStart"/>
            <w:r w:rsidRPr="00CE6F7F">
              <w:rPr>
                <w:rFonts w:ascii="Arial" w:hAnsi="Arial" w:cs="Arial"/>
                <w:sz w:val="20"/>
                <w:szCs w:val="20"/>
              </w:rPr>
              <w:t>mitt_ts</w:t>
            </w:r>
            <w:proofErr w:type="spellEnd"/>
          </w:p>
        </w:tc>
        <w:tc>
          <w:tcPr>
            <w:tcW w:w="3060" w:type="dxa"/>
            <w:shd w:val="clear" w:color="auto" w:fill="auto"/>
            <w:hideMark/>
          </w:tcPr>
          <w:p w14:paraId="4932DF84"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 xml:space="preserve">Binary Indicator for </w:t>
            </w:r>
            <w:proofErr w:type="spellStart"/>
            <w:r w:rsidRPr="00CE6F7F">
              <w:rPr>
                <w:rFonts w:ascii="Arial" w:hAnsi="Arial" w:cs="Arial"/>
                <w:sz w:val="20"/>
                <w:szCs w:val="20"/>
              </w:rPr>
              <w:t>mITT.TS</w:t>
            </w:r>
            <w:proofErr w:type="spellEnd"/>
            <w:r w:rsidRPr="00CE6F7F">
              <w:rPr>
                <w:rFonts w:ascii="Arial" w:hAnsi="Arial" w:cs="Arial"/>
                <w:sz w:val="20"/>
                <w:szCs w:val="20"/>
              </w:rPr>
              <w:t xml:space="preserve"> cohort (subjects in ITT cohort </w:t>
            </w:r>
            <w:r w:rsidRPr="00CE6F7F">
              <w:rPr>
                <w:rFonts w:ascii="Arial" w:hAnsi="Arial" w:cs="Arial"/>
                <w:sz w:val="20"/>
                <w:szCs w:val="20"/>
              </w:rPr>
              <w:lastRenderedPageBreak/>
              <w:t>that were not Prevalent TB cases by the two-sample definition and had a follow-up time of &gt;0)</w:t>
            </w:r>
          </w:p>
        </w:tc>
        <w:tc>
          <w:tcPr>
            <w:tcW w:w="1080" w:type="dxa"/>
          </w:tcPr>
          <w:p w14:paraId="3FB5A7B7" w14:textId="77777777" w:rsidR="00BB5F5F" w:rsidRPr="00CE6F7F" w:rsidRDefault="00BB5F5F" w:rsidP="00641776">
            <w:pPr>
              <w:spacing w:line="240" w:lineRule="auto"/>
              <w:ind w:left="360"/>
              <w:rPr>
                <w:rFonts w:ascii="Arial" w:hAnsi="Arial" w:cs="Arial"/>
                <w:sz w:val="20"/>
                <w:szCs w:val="20"/>
              </w:rPr>
            </w:pPr>
            <w:r w:rsidRPr="00CE6F7F">
              <w:rPr>
                <w:rFonts w:ascii="Arial" w:hAnsi="Arial" w:cs="Arial"/>
                <w:sz w:val="20"/>
                <w:szCs w:val="20"/>
              </w:rPr>
              <w:lastRenderedPageBreak/>
              <w:t>int</w:t>
            </w:r>
          </w:p>
        </w:tc>
        <w:tc>
          <w:tcPr>
            <w:tcW w:w="2610" w:type="dxa"/>
            <w:shd w:val="clear" w:color="auto" w:fill="auto"/>
          </w:tcPr>
          <w:p w14:paraId="36EFEC60" w14:textId="77777777" w:rsidR="00BB5F5F" w:rsidRPr="00CE6F7F" w:rsidRDefault="00BB5F5F" w:rsidP="00641776">
            <w:pPr>
              <w:pStyle w:val="ListParagraph"/>
              <w:numPr>
                <w:ilvl w:val="0"/>
                <w:numId w:val="15"/>
              </w:numPr>
              <w:rPr>
                <w:rFonts w:ascii="Arial" w:hAnsi="Arial" w:cs="Arial"/>
                <w:color w:val="000000"/>
                <w:bdr w:val="none" w:sz="0" w:space="0" w:color="auto" w:frame="1"/>
              </w:rPr>
            </w:pPr>
            <w:r w:rsidRPr="00CE6F7F">
              <w:rPr>
                <w:rFonts w:ascii="Arial" w:hAnsi="Arial" w:cs="Arial"/>
              </w:rPr>
              <w:t>0,</w:t>
            </w:r>
          </w:p>
          <w:p w14:paraId="2D4BF0FF" w14:textId="77777777" w:rsidR="00BB5F5F" w:rsidRPr="00CE6F7F" w:rsidRDefault="00BB5F5F" w:rsidP="00641776">
            <w:pPr>
              <w:pStyle w:val="ListParagraph"/>
              <w:numPr>
                <w:ilvl w:val="0"/>
                <w:numId w:val="15"/>
              </w:numPr>
              <w:rPr>
                <w:rFonts w:ascii="Arial" w:hAnsi="Arial" w:cs="Arial"/>
                <w:color w:val="000000"/>
                <w:bdr w:val="none" w:sz="0" w:space="0" w:color="auto" w:frame="1"/>
              </w:rPr>
            </w:pPr>
            <w:r w:rsidRPr="00CE6F7F">
              <w:rPr>
                <w:rFonts w:ascii="Arial" w:hAnsi="Arial" w:cs="Arial"/>
              </w:rPr>
              <w:t>1</w:t>
            </w:r>
          </w:p>
        </w:tc>
      </w:tr>
      <w:tr w:rsidR="00BB5F5F" w:rsidRPr="003F5B5A" w14:paraId="7A1D7A7C" w14:textId="77777777" w:rsidTr="00AD4516">
        <w:trPr>
          <w:trHeight w:val="109"/>
        </w:trPr>
        <w:tc>
          <w:tcPr>
            <w:tcW w:w="2875" w:type="dxa"/>
            <w:shd w:val="clear" w:color="auto" w:fill="auto"/>
            <w:hideMark/>
          </w:tcPr>
          <w:p w14:paraId="424E54D2"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7) risk11_score</w:t>
            </w:r>
          </w:p>
        </w:tc>
        <w:tc>
          <w:tcPr>
            <w:tcW w:w="3060" w:type="dxa"/>
            <w:shd w:val="clear" w:color="auto" w:fill="auto"/>
            <w:hideMark/>
          </w:tcPr>
          <w:p w14:paraId="5218CA4A"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 xml:space="preserve">RISK11 score </w:t>
            </w:r>
          </w:p>
        </w:tc>
        <w:tc>
          <w:tcPr>
            <w:tcW w:w="1080" w:type="dxa"/>
          </w:tcPr>
          <w:p w14:paraId="1C155619" w14:textId="77777777" w:rsidR="00BB5F5F" w:rsidRPr="00CE6F7F" w:rsidRDefault="00BB5F5F" w:rsidP="00641776">
            <w:pPr>
              <w:spacing w:line="240" w:lineRule="auto"/>
              <w:ind w:left="360"/>
              <w:rPr>
                <w:rFonts w:ascii="Arial" w:hAnsi="Arial" w:cs="Arial"/>
                <w:sz w:val="20"/>
                <w:szCs w:val="20"/>
              </w:rPr>
            </w:pPr>
            <w:r w:rsidRPr="00CE6F7F">
              <w:rPr>
                <w:rFonts w:ascii="Arial" w:hAnsi="Arial" w:cs="Arial"/>
                <w:sz w:val="20"/>
                <w:szCs w:val="20"/>
              </w:rPr>
              <w:t>num</w:t>
            </w:r>
          </w:p>
        </w:tc>
        <w:tc>
          <w:tcPr>
            <w:tcW w:w="2610" w:type="dxa"/>
            <w:shd w:val="clear" w:color="auto" w:fill="auto"/>
          </w:tcPr>
          <w:p w14:paraId="7994AF0E" w14:textId="77777777" w:rsidR="00BB5F5F" w:rsidRPr="00CE6F7F" w:rsidRDefault="00BB5F5F" w:rsidP="00641776">
            <w:pPr>
              <w:pStyle w:val="ListParagraph"/>
              <w:numPr>
                <w:ilvl w:val="0"/>
                <w:numId w:val="3"/>
              </w:numPr>
              <w:rPr>
                <w:rFonts w:ascii="Arial" w:hAnsi="Arial" w:cs="Arial"/>
                <w:color w:val="000000"/>
              </w:rPr>
            </w:pPr>
            <w:r w:rsidRPr="00CE6F7F">
              <w:rPr>
                <w:rFonts w:ascii="Arial" w:hAnsi="Arial" w:cs="Arial"/>
              </w:rPr>
              <w:t xml:space="preserve">19.895, </w:t>
            </w:r>
          </w:p>
          <w:p w14:paraId="580CB235" w14:textId="77777777" w:rsidR="00BB5F5F" w:rsidRPr="00CE6F7F" w:rsidRDefault="00BB5F5F" w:rsidP="00641776">
            <w:pPr>
              <w:pStyle w:val="ListParagraph"/>
              <w:numPr>
                <w:ilvl w:val="0"/>
                <w:numId w:val="3"/>
              </w:numPr>
              <w:rPr>
                <w:rFonts w:ascii="Arial" w:hAnsi="Arial" w:cs="Arial"/>
                <w:color w:val="000000"/>
              </w:rPr>
            </w:pPr>
            <w:r w:rsidRPr="00CE6F7F">
              <w:rPr>
                <w:rFonts w:ascii="Arial" w:hAnsi="Arial" w:cs="Arial"/>
              </w:rPr>
              <w:t>60.234, …</w:t>
            </w:r>
          </w:p>
        </w:tc>
      </w:tr>
      <w:tr w:rsidR="00BB5F5F" w:rsidRPr="003F5B5A" w14:paraId="02FFCA46" w14:textId="77777777" w:rsidTr="00AD4516">
        <w:trPr>
          <w:trHeight w:val="109"/>
        </w:trPr>
        <w:tc>
          <w:tcPr>
            <w:tcW w:w="2875" w:type="dxa"/>
            <w:shd w:val="clear" w:color="auto" w:fill="auto"/>
          </w:tcPr>
          <w:p w14:paraId="57F0E214"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6) risk11_status</w:t>
            </w:r>
          </w:p>
        </w:tc>
        <w:tc>
          <w:tcPr>
            <w:tcW w:w="3060" w:type="dxa"/>
            <w:shd w:val="clear" w:color="auto" w:fill="auto"/>
          </w:tcPr>
          <w:p w14:paraId="4F1DFCFF"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RISK11_status is positive if RISK11 score is &gt;60</w:t>
            </w:r>
          </w:p>
        </w:tc>
        <w:tc>
          <w:tcPr>
            <w:tcW w:w="1080" w:type="dxa"/>
          </w:tcPr>
          <w:p w14:paraId="4C7F9369" w14:textId="77777777" w:rsidR="00BB5F5F" w:rsidRPr="00CE6F7F" w:rsidRDefault="00BB5F5F" w:rsidP="00641776">
            <w:pPr>
              <w:spacing w:line="240" w:lineRule="auto"/>
              <w:ind w:left="360"/>
              <w:rPr>
                <w:rFonts w:ascii="Arial" w:hAnsi="Arial" w:cs="Arial"/>
                <w:sz w:val="20"/>
                <w:szCs w:val="20"/>
              </w:rPr>
            </w:pPr>
            <w:r w:rsidRPr="00CE6F7F">
              <w:rPr>
                <w:rFonts w:ascii="Arial" w:hAnsi="Arial" w:cs="Arial"/>
                <w:sz w:val="20"/>
                <w:szCs w:val="20"/>
              </w:rPr>
              <w:t>char</w:t>
            </w:r>
          </w:p>
          <w:p w14:paraId="5546F5A4" w14:textId="77777777" w:rsidR="00BB5F5F" w:rsidRPr="00CE6F7F" w:rsidRDefault="00BB5F5F" w:rsidP="00641776">
            <w:pPr>
              <w:spacing w:line="240" w:lineRule="auto"/>
              <w:ind w:left="360"/>
              <w:rPr>
                <w:rFonts w:ascii="Arial" w:hAnsi="Arial" w:cs="Arial"/>
                <w:sz w:val="20"/>
                <w:szCs w:val="20"/>
              </w:rPr>
            </w:pPr>
          </w:p>
        </w:tc>
        <w:tc>
          <w:tcPr>
            <w:tcW w:w="2610" w:type="dxa"/>
            <w:shd w:val="clear" w:color="auto" w:fill="auto"/>
          </w:tcPr>
          <w:p w14:paraId="1E4A6DE5" w14:textId="77777777" w:rsidR="00BB5F5F" w:rsidRPr="00CE6F7F" w:rsidRDefault="00BB5F5F" w:rsidP="00641776">
            <w:pPr>
              <w:pStyle w:val="ListParagraph"/>
              <w:numPr>
                <w:ilvl w:val="0"/>
                <w:numId w:val="2"/>
              </w:numPr>
              <w:rPr>
                <w:rFonts w:ascii="Arial" w:hAnsi="Arial" w:cs="Arial"/>
              </w:rPr>
            </w:pPr>
            <w:r w:rsidRPr="00CE6F7F">
              <w:rPr>
                <w:rFonts w:ascii="Arial" w:hAnsi="Arial" w:cs="Arial"/>
              </w:rPr>
              <w:t xml:space="preserve">“RISK11+”, </w:t>
            </w:r>
          </w:p>
          <w:p w14:paraId="2866B173" w14:textId="77777777" w:rsidR="00BB5F5F" w:rsidRPr="00CE6F7F" w:rsidRDefault="00BB5F5F" w:rsidP="00641776">
            <w:pPr>
              <w:pStyle w:val="ListParagraph"/>
              <w:numPr>
                <w:ilvl w:val="0"/>
                <w:numId w:val="2"/>
              </w:numPr>
              <w:rPr>
                <w:rFonts w:ascii="Arial" w:hAnsi="Arial" w:cs="Arial"/>
              </w:rPr>
            </w:pPr>
            <w:r w:rsidRPr="00CE6F7F">
              <w:rPr>
                <w:rFonts w:ascii="Arial" w:hAnsi="Arial" w:cs="Arial"/>
              </w:rPr>
              <w:t>“RISK11-”,</w:t>
            </w:r>
          </w:p>
          <w:p w14:paraId="06B258A8" w14:textId="77777777" w:rsidR="00BB5F5F" w:rsidRPr="00CE6F7F" w:rsidRDefault="00BB5F5F" w:rsidP="00641776">
            <w:pPr>
              <w:pStyle w:val="ListParagraph"/>
              <w:numPr>
                <w:ilvl w:val="0"/>
                <w:numId w:val="2"/>
              </w:numPr>
              <w:rPr>
                <w:rFonts w:ascii="Arial" w:hAnsi="Arial" w:cs="Arial"/>
              </w:rPr>
            </w:pPr>
            <w:r w:rsidRPr="00CE6F7F">
              <w:rPr>
                <w:rFonts w:ascii="Arial" w:hAnsi="Arial" w:cs="Arial"/>
              </w:rPr>
              <w:t>“INDETERMINATE”</w:t>
            </w:r>
          </w:p>
        </w:tc>
      </w:tr>
      <w:tr w:rsidR="00BB5F5F" w:rsidRPr="003F5B5A" w14:paraId="5CFCFCF6" w14:textId="77777777" w:rsidTr="00AD4516">
        <w:trPr>
          <w:trHeight w:val="109"/>
        </w:trPr>
        <w:tc>
          <w:tcPr>
            <w:tcW w:w="2875" w:type="dxa"/>
            <w:shd w:val="clear" w:color="auto" w:fill="auto"/>
            <w:hideMark/>
          </w:tcPr>
          <w:p w14:paraId="29FF9D79"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 xml:space="preserve">8) </w:t>
            </w:r>
            <w:proofErr w:type="spellStart"/>
            <w:r w:rsidRPr="00CE6F7F">
              <w:rPr>
                <w:rFonts w:ascii="Arial" w:hAnsi="Arial" w:cs="Arial"/>
                <w:sz w:val="20"/>
                <w:szCs w:val="20"/>
              </w:rPr>
              <w:t>xpert</w:t>
            </w:r>
            <w:proofErr w:type="spellEnd"/>
          </w:p>
        </w:tc>
        <w:tc>
          <w:tcPr>
            <w:tcW w:w="3060" w:type="dxa"/>
            <w:shd w:val="clear" w:color="auto" w:fill="auto"/>
            <w:hideMark/>
          </w:tcPr>
          <w:p w14:paraId="4E48EDB8"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 xml:space="preserve">Indicator for sample being positive via </w:t>
            </w:r>
            <w:proofErr w:type="spellStart"/>
            <w:r w:rsidRPr="00CE6F7F">
              <w:rPr>
                <w:rFonts w:ascii="Arial" w:hAnsi="Arial" w:cs="Arial"/>
                <w:sz w:val="20"/>
                <w:szCs w:val="20"/>
              </w:rPr>
              <w:t>Xpert</w:t>
            </w:r>
            <w:proofErr w:type="spellEnd"/>
            <w:r w:rsidRPr="00CE6F7F">
              <w:rPr>
                <w:rFonts w:ascii="Arial" w:hAnsi="Arial" w:cs="Arial"/>
                <w:sz w:val="20"/>
                <w:szCs w:val="20"/>
              </w:rPr>
              <w:t xml:space="preserve"> assay</w:t>
            </w:r>
          </w:p>
        </w:tc>
        <w:tc>
          <w:tcPr>
            <w:tcW w:w="1080" w:type="dxa"/>
          </w:tcPr>
          <w:p w14:paraId="5ED4969D" w14:textId="77777777" w:rsidR="00BB5F5F" w:rsidRPr="00CE6F7F" w:rsidRDefault="00BB5F5F" w:rsidP="00641776">
            <w:pPr>
              <w:spacing w:line="240" w:lineRule="auto"/>
              <w:ind w:left="360"/>
              <w:rPr>
                <w:rFonts w:ascii="Arial" w:hAnsi="Arial" w:cs="Arial"/>
                <w:sz w:val="20"/>
                <w:szCs w:val="20"/>
              </w:rPr>
            </w:pPr>
            <w:r w:rsidRPr="00CE6F7F">
              <w:rPr>
                <w:rFonts w:ascii="Arial" w:hAnsi="Arial" w:cs="Arial"/>
                <w:sz w:val="20"/>
                <w:szCs w:val="20"/>
              </w:rPr>
              <w:t>int</w:t>
            </w:r>
          </w:p>
        </w:tc>
        <w:tc>
          <w:tcPr>
            <w:tcW w:w="2610" w:type="dxa"/>
            <w:shd w:val="clear" w:color="auto" w:fill="auto"/>
          </w:tcPr>
          <w:p w14:paraId="1CA2FF05" w14:textId="77777777" w:rsidR="00BB5F5F" w:rsidRPr="00CE6F7F" w:rsidRDefault="00BB5F5F" w:rsidP="00641776">
            <w:pPr>
              <w:pStyle w:val="ListParagraph"/>
              <w:numPr>
                <w:ilvl w:val="0"/>
                <w:numId w:val="8"/>
              </w:numPr>
              <w:rPr>
                <w:rFonts w:ascii="Arial" w:hAnsi="Arial" w:cs="Arial"/>
              </w:rPr>
            </w:pPr>
            <w:r w:rsidRPr="00CE6F7F">
              <w:rPr>
                <w:rFonts w:ascii="Arial" w:hAnsi="Arial" w:cs="Arial"/>
              </w:rPr>
              <w:t xml:space="preserve">0, </w:t>
            </w:r>
          </w:p>
          <w:p w14:paraId="341E3191" w14:textId="77777777" w:rsidR="00BB5F5F" w:rsidRPr="00CE6F7F" w:rsidRDefault="00BB5F5F" w:rsidP="00641776">
            <w:pPr>
              <w:pStyle w:val="ListParagraph"/>
              <w:numPr>
                <w:ilvl w:val="0"/>
                <w:numId w:val="8"/>
              </w:numPr>
              <w:rPr>
                <w:rFonts w:ascii="Arial" w:hAnsi="Arial" w:cs="Arial"/>
                <w:color w:val="000000"/>
                <w:bdr w:val="none" w:sz="0" w:space="0" w:color="auto" w:frame="1"/>
              </w:rPr>
            </w:pPr>
            <w:r w:rsidRPr="00CE6F7F">
              <w:rPr>
                <w:rFonts w:ascii="Arial" w:hAnsi="Arial" w:cs="Arial"/>
              </w:rPr>
              <w:t>2,</w:t>
            </w:r>
          </w:p>
          <w:p w14:paraId="05605DD9" w14:textId="77777777" w:rsidR="00BB5F5F" w:rsidRPr="00CE6F7F" w:rsidRDefault="00BB5F5F" w:rsidP="00641776">
            <w:pPr>
              <w:pStyle w:val="ListParagraph"/>
              <w:numPr>
                <w:ilvl w:val="0"/>
                <w:numId w:val="8"/>
              </w:numPr>
              <w:rPr>
                <w:rFonts w:ascii="Arial" w:hAnsi="Arial" w:cs="Arial"/>
                <w:color w:val="000000"/>
                <w:bdr w:val="none" w:sz="0" w:space="0" w:color="auto" w:frame="1"/>
              </w:rPr>
            </w:pPr>
            <w:r w:rsidRPr="00CE6F7F">
              <w:rPr>
                <w:rFonts w:ascii="Arial" w:hAnsi="Arial" w:cs="Arial"/>
              </w:rPr>
              <w:t>5, …</w:t>
            </w:r>
          </w:p>
        </w:tc>
      </w:tr>
      <w:tr w:rsidR="00BB5F5F" w:rsidRPr="003F5B5A" w14:paraId="61AC53B7" w14:textId="77777777" w:rsidTr="00AD4516">
        <w:trPr>
          <w:trHeight w:val="109"/>
        </w:trPr>
        <w:tc>
          <w:tcPr>
            <w:tcW w:w="2875" w:type="dxa"/>
            <w:shd w:val="clear" w:color="auto" w:fill="auto"/>
            <w:hideMark/>
          </w:tcPr>
          <w:p w14:paraId="70814CDF"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 xml:space="preserve">9) </w:t>
            </w:r>
            <w:proofErr w:type="spellStart"/>
            <w:r w:rsidRPr="00CE6F7F">
              <w:rPr>
                <w:rFonts w:ascii="Arial" w:hAnsi="Arial" w:cs="Arial"/>
                <w:sz w:val="20"/>
                <w:szCs w:val="20"/>
              </w:rPr>
              <w:t>mgit</w:t>
            </w:r>
            <w:proofErr w:type="spellEnd"/>
          </w:p>
        </w:tc>
        <w:tc>
          <w:tcPr>
            <w:tcW w:w="3060" w:type="dxa"/>
            <w:shd w:val="clear" w:color="auto" w:fill="auto"/>
            <w:hideMark/>
          </w:tcPr>
          <w:p w14:paraId="2B6EE93F"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Indicator for sample being positive via MGIT assay</w:t>
            </w:r>
          </w:p>
        </w:tc>
        <w:tc>
          <w:tcPr>
            <w:tcW w:w="1080" w:type="dxa"/>
          </w:tcPr>
          <w:p w14:paraId="58F6CE75" w14:textId="77777777" w:rsidR="00BB5F5F" w:rsidRPr="00CE6F7F" w:rsidRDefault="00BB5F5F" w:rsidP="00641776">
            <w:pPr>
              <w:spacing w:line="240" w:lineRule="auto"/>
              <w:ind w:left="360"/>
              <w:rPr>
                <w:rFonts w:ascii="Arial" w:hAnsi="Arial" w:cs="Arial"/>
                <w:sz w:val="20"/>
                <w:szCs w:val="20"/>
              </w:rPr>
            </w:pPr>
            <w:r w:rsidRPr="00CE6F7F">
              <w:rPr>
                <w:rFonts w:ascii="Arial" w:hAnsi="Arial" w:cs="Arial"/>
                <w:sz w:val="20"/>
                <w:szCs w:val="20"/>
              </w:rPr>
              <w:t>int</w:t>
            </w:r>
          </w:p>
        </w:tc>
        <w:tc>
          <w:tcPr>
            <w:tcW w:w="2610" w:type="dxa"/>
            <w:shd w:val="clear" w:color="auto" w:fill="auto"/>
          </w:tcPr>
          <w:p w14:paraId="0F5B3DAB" w14:textId="77777777" w:rsidR="00BB5F5F" w:rsidRPr="00CE6F7F" w:rsidRDefault="00BB5F5F" w:rsidP="00641776">
            <w:pPr>
              <w:pStyle w:val="ListParagraph"/>
              <w:numPr>
                <w:ilvl w:val="0"/>
                <w:numId w:val="9"/>
              </w:numPr>
              <w:rPr>
                <w:rFonts w:ascii="Arial" w:hAnsi="Arial" w:cs="Arial"/>
              </w:rPr>
            </w:pPr>
            <w:r w:rsidRPr="00CE6F7F">
              <w:rPr>
                <w:rFonts w:ascii="Arial" w:hAnsi="Arial" w:cs="Arial"/>
              </w:rPr>
              <w:t xml:space="preserve">0, </w:t>
            </w:r>
          </w:p>
          <w:p w14:paraId="3A597076" w14:textId="77777777" w:rsidR="00BB5F5F" w:rsidRPr="00CE6F7F" w:rsidRDefault="00BB5F5F" w:rsidP="00641776">
            <w:pPr>
              <w:pStyle w:val="ListParagraph"/>
              <w:numPr>
                <w:ilvl w:val="0"/>
                <w:numId w:val="9"/>
              </w:numPr>
              <w:rPr>
                <w:rFonts w:ascii="Arial" w:hAnsi="Arial" w:cs="Arial"/>
                <w:color w:val="000000"/>
              </w:rPr>
            </w:pPr>
            <w:r w:rsidRPr="00CE6F7F">
              <w:rPr>
                <w:rFonts w:ascii="Arial" w:hAnsi="Arial" w:cs="Arial"/>
              </w:rPr>
              <w:t>1,</w:t>
            </w:r>
          </w:p>
          <w:p w14:paraId="143C2035" w14:textId="77777777" w:rsidR="00BB5F5F" w:rsidRPr="00CE6F7F" w:rsidRDefault="00BB5F5F" w:rsidP="00641776">
            <w:pPr>
              <w:pStyle w:val="ListParagraph"/>
              <w:numPr>
                <w:ilvl w:val="0"/>
                <w:numId w:val="9"/>
              </w:numPr>
              <w:rPr>
                <w:rFonts w:ascii="Arial" w:hAnsi="Arial" w:cs="Arial"/>
                <w:color w:val="000000"/>
              </w:rPr>
            </w:pPr>
            <w:r w:rsidRPr="00CE6F7F">
              <w:rPr>
                <w:rFonts w:ascii="Arial" w:hAnsi="Arial" w:cs="Arial"/>
              </w:rPr>
              <w:t>2, …</w:t>
            </w:r>
          </w:p>
        </w:tc>
      </w:tr>
      <w:tr w:rsidR="00BB5F5F" w:rsidRPr="003F5B5A" w14:paraId="7B069E5D" w14:textId="77777777" w:rsidTr="00AD4516">
        <w:trPr>
          <w:trHeight w:val="109"/>
        </w:trPr>
        <w:tc>
          <w:tcPr>
            <w:tcW w:w="2875" w:type="dxa"/>
            <w:shd w:val="clear" w:color="auto" w:fill="auto"/>
            <w:hideMark/>
          </w:tcPr>
          <w:p w14:paraId="2B1471BE"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 xml:space="preserve">10) </w:t>
            </w:r>
            <w:proofErr w:type="spellStart"/>
            <w:r w:rsidRPr="00CE6F7F">
              <w:rPr>
                <w:rFonts w:ascii="Arial" w:hAnsi="Arial" w:cs="Arial"/>
                <w:sz w:val="20"/>
                <w:szCs w:val="20"/>
              </w:rPr>
              <w:t>endpoint_definition</w:t>
            </w:r>
            <w:proofErr w:type="spellEnd"/>
          </w:p>
        </w:tc>
        <w:tc>
          <w:tcPr>
            <w:tcW w:w="3060" w:type="dxa"/>
            <w:shd w:val="clear" w:color="auto" w:fill="auto"/>
            <w:hideMark/>
          </w:tcPr>
          <w:p w14:paraId="4A5C4CD5"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 xml:space="preserve">Indicator for endpoint being considered in two sample or </w:t>
            </w:r>
            <w:proofErr w:type="spellStart"/>
            <w:r w:rsidRPr="00CE6F7F">
              <w:rPr>
                <w:rFonts w:ascii="Arial" w:hAnsi="Arial" w:cs="Arial"/>
                <w:sz w:val="20"/>
                <w:szCs w:val="20"/>
              </w:rPr>
              <w:t>one+two</w:t>
            </w:r>
            <w:proofErr w:type="spellEnd"/>
            <w:r w:rsidRPr="00CE6F7F">
              <w:rPr>
                <w:rFonts w:ascii="Arial" w:hAnsi="Arial" w:cs="Arial"/>
                <w:sz w:val="20"/>
                <w:szCs w:val="20"/>
              </w:rPr>
              <w:t xml:space="preserve"> sample definition.</w:t>
            </w:r>
          </w:p>
        </w:tc>
        <w:tc>
          <w:tcPr>
            <w:tcW w:w="1080" w:type="dxa"/>
          </w:tcPr>
          <w:p w14:paraId="51FC53CE" w14:textId="77777777" w:rsidR="00BB5F5F" w:rsidRPr="00CE6F7F" w:rsidRDefault="00BB5F5F" w:rsidP="00641776">
            <w:pPr>
              <w:spacing w:line="240" w:lineRule="auto"/>
              <w:ind w:left="360"/>
              <w:rPr>
                <w:rFonts w:ascii="Arial" w:hAnsi="Arial" w:cs="Arial"/>
                <w:sz w:val="20"/>
                <w:szCs w:val="20"/>
              </w:rPr>
            </w:pPr>
            <w:r w:rsidRPr="00CE6F7F">
              <w:rPr>
                <w:rFonts w:ascii="Arial" w:hAnsi="Arial" w:cs="Arial"/>
                <w:sz w:val="20"/>
                <w:szCs w:val="20"/>
              </w:rPr>
              <w:t>char</w:t>
            </w:r>
          </w:p>
          <w:p w14:paraId="5827EA2A" w14:textId="77777777" w:rsidR="00BB5F5F" w:rsidRPr="00CE6F7F" w:rsidRDefault="00BB5F5F" w:rsidP="00641776">
            <w:pPr>
              <w:spacing w:line="240" w:lineRule="auto"/>
              <w:ind w:left="360"/>
              <w:rPr>
                <w:rFonts w:ascii="Arial" w:hAnsi="Arial" w:cs="Arial"/>
                <w:sz w:val="20"/>
                <w:szCs w:val="20"/>
              </w:rPr>
            </w:pPr>
          </w:p>
        </w:tc>
        <w:tc>
          <w:tcPr>
            <w:tcW w:w="2610" w:type="dxa"/>
            <w:shd w:val="clear" w:color="auto" w:fill="auto"/>
          </w:tcPr>
          <w:p w14:paraId="0E4F2F6B" w14:textId="77777777" w:rsidR="00BB5F5F" w:rsidRPr="00CE6F7F" w:rsidRDefault="00BB5F5F" w:rsidP="00641776">
            <w:pPr>
              <w:pStyle w:val="ListParagraph"/>
              <w:numPr>
                <w:ilvl w:val="0"/>
                <w:numId w:val="6"/>
              </w:numPr>
              <w:rPr>
                <w:rFonts w:ascii="Arial" w:hAnsi="Arial" w:cs="Arial"/>
                <w:color w:val="000000"/>
              </w:rPr>
            </w:pPr>
            <w:r w:rsidRPr="00CE6F7F">
              <w:rPr>
                <w:rFonts w:ascii="Arial" w:hAnsi="Arial" w:cs="Arial"/>
              </w:rPr>
              <w:t>“</w:t>
            </w:r>
            <w:proofErr w:type="spellStart"/>
            <w:r w:rsidRPr="00CE6F7F">
              <w:rPr>
                <w:rFonts w:ascii="Arial" w:hAnsi="Arial" w:cs="Arial"/>
              </w:rPr>
              <w:t>one+two</w:t>
            </w:r>
            <w:proofErr w:type="spellEnd"/>
            <w:r w:rsidRPr="00CE6F7F">
              <w:rPr>
                <w:rFonts w:ascii="Arial" w:hAnsi="Arial" w:cs="Arial"/>
              </w:rPr>
              <w:t xml:space="preserve"> sample”,</w:t>
            </w:r>
          </w:p>
          <w:p w14:paraId="0EDACD67" w14:textId="77777777" w:rsidR="00BB5F5F" w:rsidRPr="00CE6F7F" w:rsidRDefault="00BB5F5F" w:rsidP="00641776">
            <w:pPr>
              <w:pStyle w:val="ListParagraph"/>
              <w:numPr>
                <w:ilvl w:val="0"/>
                <w:numId w:val="6"/>
              </w:numPr>
              <w:rPr>
                <w:rFonts w:ascii="Arial" w:hAnsi="Arial" w:cs="Arial"/>
                <w:color w:val="000000"/>
              </w:rPr>
            </w:pPr>
            <w:r w:rsidRPr="00CE6F7F">
              <w:rPr>
                <w:rFonts w:ascii="Arial" w:hAnsi="Arial" w:cs="Arial"/>
              </w:rPr>
              <w:t>“two sample”</w:t>
            </w:r>
          </w:p>
        </w:tc>
      </w:tr>
      <w:tr w:rsidR="00BB5F5F" w:rsidRPr="003F5B5A" w14:paraId="6C68EE13" w14:textId="77777777" w:rsidTr="00AD4516">
        <w:trPr>
          <w:trHeight w:val="109"/>
        </w:trPr>
        <w:tc>
          <w:tcPr>
            <w:tcW w:w="2875" w:type="dxa"/>
            <w:shd w:val="clear" w:color="auto" w:fill="auto"/>
            <w:hideMark/>
          </w:tcPr>
          <w:p w14:paraId="47F64D98"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 xml:space="preserve">11) </w:t>
            </w:r>
            <w:proofErr w:type="spellStart"/>
            <w:r w:rsidRPr="00CE6F7F">
              <w:rPr>
                <w:rFonts w:ascii="Arial" w:hAnsi="Arial" w:cs="Arial"/>
                <w:sz w:val="20"/>
                <w:szCs w:val="20"/>
              </w:rPr>
              <w:t>tevent_osts</w:t>
            </w:r>
            <w:proofErr w:type="spellEnd"/>
          </w:p>
        </w:tc>
        <w:tc>
          <w:tcPr>
            <w:tcW w:w="3060" w:type="dxa"/>
            <w:shd w:val="clear" w:color="auto" w:fill="auto"/>
            <w:hideMark/>
          </w:tcPr>
          <w:p w14:paraId="4F0BAB24"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Follow-up time (</w:t>
            </w:r>
            <w:proofErr w:type="spellStart"/>
            <w:r w:rsidRPr="00CE6F7F">
              <w:rPr>
                <w:rFonts w:ascii="Arial" w:hAnsi="Arial" w:cs="Arial"/>
                <w:sz w:val="20"/>
                <w:szCs w:val="20"/>
              </w:rPr>
              <w:t>FUtime</w:t>
            </w:r>
            <w:proofErr w:type="spellEnd"/>
            <w:r w:rsidRPr="00CE6F7F">
              <w:rPr>
                <w:rFonts w:ascii="Arial" w:hAnsi="Arial" w:cs="Arial"/>
                <w:sz w:val="20"/>
                <w:szCs w:val="20"/>
              </w:rPr>
              <w:t>) for OSTS analysis (months)</w:t>
            </w:r>
          </w:p>
        </w:tc>
        <w:tc>
          <w:tcPr>
            <w:tcW w:w="1080" w:type="dxa"/>
          </w:tcPr>
          <w:p w14:paraId="0DB165A3" w14:textId="77777777" w:rsidR="00BB5F5F" w:rsidRPr="00CE6F7F" w:rsidRDefault="00BB5F5F" w:rsidP="00641776">
            <w:pPr>
              <w:spacing w:line="240" w:lineRule="auto"/>
              <w:ind w:left="360"/>
              <w:rPr>
                <w:rFonts w:ascii="Arial" w:hAnsi="Arial" w:cs="Arial"/>
                <w:sz w:val="20"/>
                <w:szCs w:val="20"/>
              </w:rPr>
            </w:pPr>
            <w:r w:rsidRPr="00CE6F7F">
              <w:rPr>
                <w:rFonts w:ascii="Arial" w:hAnsi="Arial" w:cs="Arial"/>
                <w:sz w:val="20"/>
                <w:szCs w:val="20"/>
              </w:rPr>
              <w:t>num</w:t>
            </w:r>
          </w:p>
        </w:tc>
        <w:tc>
          <w:tcPr>
            <w:tcW w:w="2610" w:type="dxa"/>
            <w:shd w:val="clear" w:color="auto" w:fill="auto"/>
          </w:tcPr>
          <w:p w14:paraId="6994E4B8" w14:textId="77777777" w:rsidR="00BB5F5F" w:rsidRPr="00CE6F7F" w:rsidRDefault="00BB5F5F" w:rsidP="00641776">
            <w:pPr>
              <w:pStyle w:val="ListParagraph"/>
              <w:numPr>
                <w:ilvl w:val="0"/>
                <w:numId w:val="10"/>
              </w:numPr>
              <w:rPr>
                <w:rFonts w:ascii="Arial" w:hAnsi="Arial" w:cs="Arial"/>
                <w:color w:val="000000"/>
              </w:rPr>
            </w:pPr>
            <w:r w:rsidRPr="00CE6F7F">
              <w:rPr>
                <w:rFonts w:ascii="Arial" w:hAnsi="Arial" w:cs="Arial"/>
              </w:rPr>
              <w:t>12.72,</w:t>
            </w:r>
          </w:p>
          <w:p w14:paraId="10176421" w14:textId="77777777" w:rsidR="00BB5F5F" w:rsidRPr="00CE6F7F" w:rsidRDefault="00BB5F5F" w:rsidP="00641776">
            <w:pPr>
              <w:pStyle w:val="ListParagraph"/>
              <w:numPr>
                <w:ilvl w:val="0"/>
                <w:numId w:val="10"/>
              </w:numPr>
              <w:rPr>
                <w:rFonts w:ascii="Arial" w:hAnsi="Arial" w:cs="Arial"/>
                <w:color w:val="000000"/>
              </w:rPr>
            </w:pPr>
            <w:r w:rsidRPr="00CE6F7F">
              <w:rPr>
                <w:rFonts w:ascii="Arial" w:hAnsi="Arial" w:cs="Arial"/>
              </w:rPr>
              <w:t>14.13, …</w:t>
            </w:r>
          </w:p>
        </w:tc>
      </w:tr>
      <w:tr w:rsidR="00BB5F5F" w:rsidRPr="003F5B5A" w14:paraId="51137FE8" w14:textId="77777777" w:rsidTr="00AD4516">
        <w:trPr>
          <w:trHeight w:val="109"/>
        </w:trPr>
        <w:tc>
          <w:tcPr>
            <w:tcW w:w="2875" w:type="dxa"/>
            <w:shd w:val="clear" w:color="auto" w:fill="auto"/>
            <w:hideMark/>
          </w:tcPr>
          <w:p w14:paraId="10822F90"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 xml:space="preserve">12) </w:t>
            </w:r>
            <w:proofErr w:type="spellStart"/>
            <w:r w:rsidRPr="00CE6F7F">
              <w:rPr>
                <w:rFonts w:ascii="Arial" w:hAnsi="Arial" w:cs="Arial"/>
                <w:sz w:val="20"/>
                <w:szCs w:val="20"/>
              </w:rPr>
              <w:t>tevent_ts</w:t>
            </w:r>
            <w:proofErr w:type="spellEnd"/>
          </w:p>
        </w:tc>
        <w:tc>
          <w:tcPr>
            <w:tcW w:w="3060" w:type="dxa"/>
            <w:shd w:val="clear" w:color="auto" w:fill="auto"/>
            <w:hideMark/>
          </w:tcPr>
          <w:p w14:paraId="6D676713" w14:textId="77777777" w:rsidR="00BB5F5F" w:rsidRPr="00CE6F7F" w:rsidRDefault="00BB5F5F" w:rsidP="00641776">
            <w:pPr>
              <w:spacing w:line="240" w:lineRule="auto"/>
              <w:rPr>
                <w:rFonts w:ascii="Arial" w:hAnsi="Arial" w:cs="Arial"/>
                <w:sz w:val="20"/>
                <w:szCs w:val="20"/>
              </w:rPr>
            </w:pPr>
            <w:proofErr w:type="spellStart"/>
            <w:r w:rsidRPr="00CE6F7F">
              <w:rPr>
                <w:rFonts w:ascii="Arial" w:hAnsi="Arial" w:cs="Arial"/>
                <w:sz w:val="20"/>
                <w:szCs w:val="20"/>
              </w:rPr>
              <w:t>FUtime</w:t>
            </w:r>
            <w:proofErr w:type="spellEnd"/>
            <w:r w:rsidRPr="00CE6F7F">
              <w:rPr>
                <w:rFonts w:ascii="Arial" w:hAnsi="Arial" w:cs="Arial"/>
                <w:sz w:val="20"/>
                <w:szCs w:val="20"/>
              </w:rPr>
              <w:t xml:space="preserve"> for TS analysis (months)</w:t>
            </w:r>
          </w:p>
        </w:tc>
        <w:tc>
          <w:tcPr>
            <w:tcW w:w="1080" w:type="dxa"/>
          </w:tcPr>
          <w:p w14:paraId="32EA33D9" w14:textId="77777777" w:rsidR="00BB5F5F" w:rsidRPr="00CE6F7F" w:rsidRDefault="00BB5F5F" w:rsidP="00641776">
            <w:pPr>
              <w:spacing w:line="240" w:lineRule="auto"/>
              <w:ind w:left="360"/>
              <w:rPr>
                <w:rFonts w:ascii="Arial" w:hAnsi="Arial" w:cs="Arial"/>
                <w:sz w:val="20"/>
                <w:szCs w:val="20"/>
              </w:rPr>
            </w:pPr>
            <w:r w:rsidRPr="00CE6F7F">
              <w:rPr>
                <w:rFonts w:ascii="Arial" w:hAnsi="Arial" w:cs="Arial"/>
                <w:sz w:val="20"/>
                <w:szCs w:val="20"/>
              </w:rPr>
              <w:t>num</w:t>
            </w:r>
          </w:p>
        </w:tc>
        <w:tc>
          <w:tcPr>
            <w:tcW w:w="2610" w:type="dxa"/>
            <w:shd w:val="clear" w:color="auto" w:fill="auto"/>
          </w:tcPr>
          <w:p w14:paraId="5DD3CDB1" w14:textId="77777777" w:rsidR="00BB5F5F" w:rsidRPr="00CE6F7F" w:rsidRDefault="00BB5F5F" w:rsidP="00641776">
            <w:pPr>
              <w:pStyle w:val="ListParagraph"/>
              <w:numPr>
                <w:ilvl w:val="0"/>
                <w:numId w:val="12"/>
              </w:numPr>
              <w:rPr>
                <w:rFonts w:ascii="Arial" w:hAnsi="Arial" w:cs="Arial"/>
                <w:color w:val="000000"/>
              </w:rPr>
            </w:pPr>
            <w:r w:rsidRPr="00CE6F7F">
              <w:rPr>
                <w:rFonts w:ascii="Arial" w:hAnsi="Arial" w:cs="Arial"/>
              </w:rPr>
              <w:t>12.72,</w:t>
            </w:r>
          </w:p>
          <w:p w14:paraId="2186F28B" w14:textId="77777777" w:rsidR="00BB5F5F" w:rsidRPr="00CE6F7F" w:rsidRDefault="00BB5F5F" w:rsidP="00641776">
            <w:pPr>
              <w:pStyle w:val="ListParagraph"/>
              <w:numPr>
                <w:ilvl w:val="0"/>
                <w:numId w:val="12"/>
              </w:numPr>
              <w:rPr>
                <w:rFonts w:ascii="Arial" w:hAnsi="Arial" w:cs="Arial"/>
                <w:color w:val="000000"/>
              </w:rPr>
            </w:pPr>
            <w:r w:rsidRPr="00CE6F7F">
              <w:rPr>
                <w:rFonts w:ascii="Arial" w:hAnsi="Arial" w:cs="Arial"/>
              </w:rPr>
              <w:t>14.13, …</w:t>
            </w:r>
          </w:p>
        </w:tc>
      </w:tr>
      <w:tr w:rsidR="00BB5F5F" w:rsidRPr="003F5B5A" w14:paraId="7610667E" w14:textId="77777777" w:rsidTr="00AD4516">
        <w:trPr>
          <w:trHeight w:val="109"/>
        </w:trPr>
        <w:tc>
          <w:tcPr>
            <w:tcW w:w="2875" w:type="dxa"/>
            <w:shd w:val="clear" w:color="auto" w:fill="auto"/>
          </w:tcPr>
          <w:p w14:paraId="741ED712"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 xml:space="preserve">14) </w:t>
            </w:r>
            <w:proofErr w:type="spellStart"/>
            <w:r w:rsidRPr="00CE6F7F">
              <w:rPr>
                <w:rFonts w:ascii="Arial" w:hAnsi="Arial" w:cs="Arial"/>
                <w:sz w:val="20"/>
                <w:szCs w:val="20"/>
              </w:rPr>
              <w:t>endpoint_osts</w:t>
            </w:r>
            <w:proofErr w:type="spellEnd"/>
          </w:p>
        </w:tc>
        <w:tc>
          <w:tcPr>
            <w:tcW w:w="3060" w:type="dxa"/>
            <w:shd w:val="clear" w:color="auto" w:fill="auto"/>
          </w:tcPr>
          <w:p w14:paraId="5E2DCE0A"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Binary Indicator for Endpoint for OSTS analysis</w:t>
            </w:r>
          </w:p>
        </w:tc>
        <w:tc>
          <w:tcPr>
            <w:tcW w:w="1080" w:type="dxa"/>
          </w:tcPr>
          <w:p w14:paraId="1E464341" w14:textId="77777777" w:rsidR="00BB5F5F" w:rsidRPr="00CE6F7F" w:rsidRDefault="00BB5F5F" w:rsidP="00641776">
            <w:pPr>
              <w:pStyle w:val="NoSpacing"/>
              <w:ind w:left="360"/>
              <w:rPr>
                <w:rFonts w:ascii="Arial" w:hAnsi="Arial" w:cs="Arial"/>
                <w:sz w:val="20"/>
                <w:szCs w:val="20"/>
              </w:rPr>
            </w:pPr>
            <w:r w:rsidRPr="00CE6F7F">
              <w:rPr>
                <w:rFonts w:ascii="Arial" w:hAnsi="Arial" w:cs="Arial"/>
                <w:sz w:val="20"/>
                <w:szCs w:val="20"/>
              </w:rPr>
              <w:t>int</w:t>
            </w:r>
          </w:p>
        </w:tc>
        <w:tc>
          <w:tcPr>
            <w:tcW w:w="2610" w:type="dxa"/>
            <w:shd w:val="clear" w:color="auto" w:fill="auto"/>
          </w:tcPr>
          <w:p w14:paraId="088EE47E" w14:textId="77777777" w:rsidR="00BB5F5F" w:rsidRPr="00CE6F7F" w:rsidRDefault="00BB5F5F" w:rsidP="00641776">
            <w:pPr>
              <w:pStyle w:val="NoSpacing"/>
              <w:numPr>
                <w:ilvl w:val="0"/>
                <w:numId w:val="11"/>
              </w:numPr>
              <w:rPr>
                <w:rFonts w:ascii="Arial" w:hAnsi="Arial" w:cs="Arial"/>
                <w:color w:val="000000"/>
                <w:sz w:val="20"/>
                <w:szCs w:val="20"/>
              </w:rPr>
            </w:pPr>
            <w:r w:rsidRPr="00CE6F7F">
              <w:rPr>
                <w:rFonts w:ascii="Arial" w:hAnsi="Arial" w:cs="Arial"/>
                <w:sz w:val="20"/>
                <w:szCs w:val="20"/>
              </w:rPr>
              <w:t>0,</w:t>
            </w:r>
          </w:p>
          <w:p w14:paraId="6CE05B03" w14:textId="77777777" w:rsidR="00BB5F5F" w:rsidRPr="00CE6F7F" w:rsidRDefault="00BB5F5F" w:rsidP="00641776">
            <w:pPr>
              <w:pStyle w:val="NoSpacing"/>
              <w:numPr>
                <w:ilvl w:val="0"/>
                <w:numId w:val="11"/>
              </w:numPr>
              <w:rPr>
                <w:rFonts w:ascii="Arial" w:hAnsi="Arial" w:cs="Arial"/>
                <w:color w:val="000000"/>
                <w:sz w:val="20"/>
                <w:szCs w:val="20"/>
              </w:rPr>
            </w:pPr>
            <w:r w:rsidRPr="00CE6F7F">
              <w:rPr>
                <w:rFonts w:ascii="Arial" w:hAnsi="Arial" w:cs="Arial"/>
                <w:sz w:val="20"/>
                <w:szCs w:val="20"/>
              </w:rPr>
              <w:t>1</w:t>
            </w:r>
          </w:p>
        </w:tc>
      </w:tr>
      <w:tr w:rsidR="00BB5F5F" w:rsidRPr="003F5B5A" w14:paraId="3D1E5FEA" w14:textId="77777777" w:rsidTr="00AD4516">
        <w:trPr>
          <w:trHeight w:val="109"/>
        </w:trPr>
        <w:tc>
          <w:tcPr>
            <w:tcW w:w="2875" w:type="dxa"/>
            <w:shd w:val="clear" w:color="auto" w:fill="auto"/>
            <w:hideMark/>
          </w:tcPr>
          <w:p w14:paraId="6E38D8E5"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 xml:space="preserve">15) </w:t>
            </w:r>
            <w:proofErr w:type="spellStart"/>
            <w:r w:rsidRPr="00CE6F7F">
              <w:rPr>
                <w:rFonts w:ascii="Arial" w:hAnsi="Arial" w:cs="Arial"/>
                <w:sz w:val="20"/>
                <w:szCs w:val="20"/>
              </w:rPr>
              <w:t>endpoint_ts</w:t>
            </w:r>
            <w:proofErr w:type="spellEnd"/>
          </w:p>
        </w:tc>
        <w:tc>
          <w:tcPr>
            <w:tcW w:w="3060" w:type="dxa"/>
            <w:shd w:val="clear" w:color="auto" w:fill="auto"/>
            <w:hideMark/>
          </w:tcPr>
          <w:p w14:paraId="15E5C367"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Binary Indicator for Endpoint for TS analysis</w:t>
            </w:r>
          </w:p>
        </w:tc>
        <w:tc>
          <w:tcPr>
            <w:tcW w:w="1080" w:type="dxa"/>
          </w:tcPr>
          <w:p w14:paraId="2A8603C9" w14:textId="77777777" w:rsidR="00BB5F5F" w:rsidRPr="00CE6F7F" w:rsidRDefault="00BB5F5F" w:rsidP="00641776">
            <w:pPr>
              <w:pStyle w:val="NoSpacing"/>
              <w:ind w:left="360"/>
              <w:rPr>
                <w:rFonts w:ascii="Arial" w:hAnsi="Arial" w:cs="Arial"/>
                <w:sz w:val="20"/>
                <w:szCs w:val="20"/>
              </w:rPr>
            </w:pPr>
            <w:r w:rsidRPr="00CE6F7F">
              <w:rPr>
                <w:rFonts w:ascii="Arial" w:hAnsi="Arial" w:cs="Arial"/>
                <w:sz w:val="20"/>
                <w:szCs w:val="20"/>
              </w:rPr>
              <w:t>int</w:t>
            </w:r>
          </w:p>
        </w:tc>
        <w:tc>
          <w:tcPr>
            <w:tcW w:w="2610" w:type="dxa"/>
            <w:shd w:val="clear" w:color="auto" w:fill="auto"/>
          </w:tcPr>
          <w:p w14:paraId="724C06CA" w14:textId="77777777" w:rsidR="00BB5F5F" w:rsidRPr="00CE6F7F" w:rsidRDefault="00BB5F5F" w:rsidP="00641776">
            <w:pPr>
              <w:pStyle w:val="NoSpacing"/>
              <w:numPr>
                <w:ilvl w:val="0"/>
                <w:numId w:val="13"/>
              </w:numPr>
              <w:rPr>
                <w:rFonts w:ascii="Arial" w:hAnsi="Arial" w:cs="Arial"/>
                <w:sz w:val="20"/>
                <w:szCs w:val="20"/>
              </w:rPr>
            </w:pPr>
            <w:r w:rsidRPr="00CE6F7F">
              <w:rPr>
                <w:rFonts w:ascii="Arial" w:hAnsi="Arial" w:cs="Arial"/>
                <w:sz w:val="20"/>
                <w:szCs w:val="20"/>
              </w:rPr>
              <w:t>0,</w:t>
            </w:r>
          </w:p>
          <w:p w14:paraId="69AD6C3D" w14:textId="77777777" w:rsidR="00BB5F5F" w:rsidRPr="00CE6F7F" w:rsidRDefault="00BB5F5F" w:rsidP="00641776">
            <w:pPr>
              <w:pStyle w:val="NoSpacing"/>
              <w:numPr>
                <w:ilvl w:val="0"/>
                <w:numId w:val="13"/>
              </w:numPr>
              <w:rPr>
                <w:rFonts w:ascii="Arial" w:hAnsi="Arial" w:cs="Arial"/>
                <w:sz w:val="20"/>
                <w:szCs w:val="20"/>
              </w:rPr>
            </w:pPr>
            <w:r w:rsidRPr="00CE6F7F">
              <w:rPr>
                <w:rFonts w:ascii="Arial" w:hAnsi="Arial" w:cs="Arial"/>
                <w:sz w:val="20"/>
                <w:szCs w:val="20"/>
              </w:rPr>
              <w:t>1</w:t>
            </w:r>
          </w:p>
        </w:tc>
      </w:tr>
      <w:tr w:rsidR="00BB5F5F" w:rsidRPr="003F5B5A" w14:paraId="7C932462" w14:textId="77777777" w:rsidTr="00AD4516">
        <w:trPr>
          <w:trHeight w:val="109"/>
        </w:trPr>
        <w:tc>
          <w:tcPr>
            <w:tcW w:w="2875" w:type="dxa"/>
            <w:shd w:val="clear" w:color="auto" w:fill="auto"/>
            <w:hideMark/>
          </w:tcPr>
          <w:p w14:paraId="5152623B" w14:textId="77777777" w:rsidR="00BB5F5F" w:rsidRPr="00CE6F7F" w:rsidRDefault="00BB5F5F" w:rsidP="00641776">
            <w:pPr>
              <w:pStyle w:val="HTMLPreformatted"/>
              <w:shd w:val="clear" w:color="auto" w:fill="FFFFFF"/>
              <w:rPr>
                <w:rFonts w:ascii="Arial" w:hAnsi="Arial" w:cs="Arial"/>
              </w:rPr>
            </w:pPr>
            <w:r w:rsidRPr="00CE6F7F">
              <w:rPr>
                <w:rFonts w:ascii="Arial" w:hAnsi="Arial" w:cs="Arial"/>
              </w:rPr>
              <w:t xml:space="preserve">16) </w:t>
            </w:r>
            <w:proofErr w:type="spellStart"/>
            <w:r w:rsidRPr="00CE6F7F">
              <w:rPr>
                <w:rFonts w:ascii="Arial" w:hAnsi="Arial" w:cs="Arial"/>
              </w:rPr>
              <w:t>prevalent_endpoint_osts</w:t>
            </w:r>
            <w:proofErr w:type="spellEnd"/>
          </w:p>
          <w:p w14:paraId="608F638C" w14:textId="77777777" w:rsidR="00BB5F5F" w:rsidRPr="00CE6F7F" w:rsidRDefault="00BB5F5F" w:rsidP="00641776">
            <w:pPr>
              <w:spacing w:line="240" w:lineRule="auto"/>
              <w:rPr>
                <w:rFonts w:ascii="Arial" w:hAnsi="Arial" w:cs="Arial"/>
                <w:sz w:val="20"/>
                <w:szCs w:val="20"/>
              </w:rPr>
            </w:pPr>
          </w:p>
        </w:tc>
        <w:tc>
          <w:tcPr>
            <w:tcW w:w="3060" w:type="dxa"/>
            <w:shd w:val="clear" w:color="auto" w:fill="auto"/>
            <w:hideMark/>
          </w:tcPr>
          <w:p w14:paraId="77EAE432"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Binary Indicator for Prevalent TB case including one or two sample positive cases</w:t>
            </w:r>
          </w:p>
        </w:tc>
        <w:tc>
          <w:tcPr>
            <w:tcW w:w="1080" w:type="dxa"/>
          </w:tcPr>
          <w:p w14:paraId="0941596A" w14:textId="77777777" w:rsidR="00BB5F5F" w:rsidRPr="00CE6F7F" w:rsidRDefault="00BB5F5F" w:rsidP="00641776">
            <w:pPr>
              <w:spacing w:line="240" w:lineRule="auto"/>
              <w:ind w:left="360"/>
              <w:rPr>
                <w:rFonts w:ascii="Arial" w:hAnsi="Arial" w:cs="Arial"/>
                <w:sz w:val="20"/>
                <w:szCs w:val="20"/>
              </w:rPr>
            </w:pPr>
            <w:r w:rsidRPr="00CE6F7F">
              <w:rPr>
                <w:rFonts w:ascii="Arial" w:hAnsi="Arial" w:cs="Arial"/>
                <w:sz w:val="20"/>
                <w:szCs w:val="20"/>
              </w:rPr>
              <w:t>int</w:t>
            </w:r>
          </w:p>
        </w:tc>
        <w:tc>
          <w:tcPr>
            <w:tcW w:w="2610" w:type="dxa"/>
            <w:shd w:val="clear" w:color="auto" w:fill="auto"/>
          </w:tcPr>
          <w:p w14:paraId="2B0FE5BD" w14:textId="77777777" w:rsidR="00BB5F5F" w:rsidRPr="00CE6F7F" w:rsidRDefault="00BB5F5F" w:rsidP="00641776">
            <w:pPr>
              <w:pStyle w:val="ListParagraph"/>
              <w:numPr>
                <w:ilvl w:val="0"/>
                <w:numId w:val="16"/>
              </w:numPr>
              <w:rPr>
                <w:rFonts w:ascii="Arial" w:hAnsi="Arial" w:cs="Arial"/>
              </w:rPr>
            </w:pPr>
            <w:r w:rsidRPr="00CE6F7F">
              <w:rPr>
                <w:rFonts w:ascii="Arial" w:hAnsi="Arial" w:cs="Arial"/>
              </w:rPr>
              <w:t xml:space="preserve">0, </w:t>
            </w:r>
          </w:p>
          <w:p w14:paraId="1BED6046" w14:textId="77777777" w:rsidR="00BB5F5F" w:rsidRPr="00CE6F7F" w:rsidRDefault="00BB5F5F" w:rsidP="00641776">
            <w:pPr>
              <w:pStyle w:val="ListParagraph"/>
              <w:numPr>
                <w:ilvl w:val="0"/>
                <w:numId w:val="16"/>
              </w:numPr>
              <w:rPr>
                <w:rFonts w:ascii="Arial" w:hAnsi="Arial" w:cs="Arial"/>
              </w:rPr>
            </w:pPr>
            <w:r w:rsidRPr="00CE6F7F">
              <w:rPr>
                <w:rFonts w:ascii="Arial" w:hAnsi="Arial" w:cs="Arial"/>
              </w:rPr>
              <w:t>1</w:t>
            </w:r>
          </w:p>
        </w:tc>
      </w:tr>
      <w:tr w:rsidR="00BB5F5F" w:rsidRPr="003F5B5A" w14:paraId="5CF04E41" w14:textId="77777777" w:rsidTr="00AD4516">
        <w:trPr>
          <w:trHeight w:val="219"/>
        </w:trPr>
        <w:tc>
          <w:tcPr>
            <w:tcW w:w="2875" w:type="dxa"/>
            <w:shd w:val="clear" w:color="auto" w:fill="auto"/>
            <w:hideMark/>
          </w:tcPr>
          <w:p w14:paraId="33E7C454" w14:textId="77777777" w:rsidR="00BB5F5F" w:rsidRPr="00CE6F7F" w:rsidRDefault="00BB5F5F" w:rsidP="00641776">
            <w:pPr>
              <w:pStyle w:val="HTMLPreformatted"/>
              <w:shd w:val="clear" w:color="auto" w:fill="FFFFFF"/>
              <w:rPr>
                <w:rFonts w:ascii="Arial" w:hAnsi="Arial" w:cs="Arial"/>
              </w:rPr>
            </w:pPr>
            <w:r w:rsidRPr="00CE6F7F">
              <w:rPr>
                <w:rFonts w:ascii="Arial" w:hAnsi="Arial" w:cs="Arial"/>
              </w:rPr>
              <w:t xml:space="preserve">17) </w:t>
            </w:r>
            <w:proofErr w:type="spellStart"/>
            <w:r w:rsidRPr="00CE6F7F">
              <w:rPr>
                <w:rFonts w:ascii="Arial" w:hAnsi="Arial" w:cs="Arial"/>
              </w:rPr>
              <w:t>prevalent_endpoint_ts</w:t>
            </w:r>
            <w:proofErr w:type="spellEnd"/>
          </w:p>
          <w:p w14:paraId="5D63A6C0" w14:textId="77777777" w:rsidR="00BB5F5F" w:rsidRPr="00CE6F7F" w:rsidRDefault="00BB5F5F" w:rsidP="00641776">
            <w:pPr>
              <w:spacing w:line="240" w:lineRule="auto"/>
              <w:rPr>
                <w:rFonts w:ascii="Arial" w:hAnsi="Arial" w:cs="Arial"/>
                <w:sz w:val="20"/>
                <w:szCs w:val="20"/>
              </w:rPr>
            </w:pPr>
          </w:p>
        </w:tc>
        <w:tc>
          <w:tcPr>
            <w:tcW w:w="3060" w:type="dxa"/>
            <w:shd w:val="clear" w:color="auto" w:fill="auto"/>
            <w:hideMark/>
          </w:tcPr>
          <w:p w14:paraId="53010497"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Binary Indicator for Prevalent TB case including only two sample positive cases</w:t>
            </w:r>
          </w:p>
        </w:tc>
        <w:tc>
          <w:tcPr>
            <w:tcW w:w="1080" w:type="dxa"/>
          </w:tcPr>
          <w:p w14:paraId="691A03D2" w14:textId="77777777" w:rsidR="00BB5F5F" w:rsidRPr="00CE6F7F" w:rsidRDefault="00BB5F5F" w:rsidP="00641776">
            <w:pPr>
              <w:spacing w:line="240" w:lineRule="auto"/>
              <w:ind w:left="360"/>
              <w:rPr>
                <w:rFonts w:ascii="Arial" w:hAnsi="Arial" w:cs="Arial"/>
                <w:sz w:val="20"/>
                <w:szCs w:val="20"/>
              </w:rPr>
            </w:pPr>
            <w:r w:rsidRPr="00CE6F7F">
              <w:rPr>
                <w:rFonts w:ascii="Arial" w:hAnsi="Arial" w:cs="Arial"/>
                <w:sz w:val="20"/>
                <w:szCs w:val="20"/>
              </w:rPr>
              <w:t>int</w:t>
            </w:r>
          </w:p>
        </w:tc>
        <w:tc>
          <w:tcPr>
            <w:tcW w:w="2610" w:type="dxa"/>
            <w:shd w:val="clear" w:color="auto" w:fill="auto"/>
          </w:tcPr>
          <w:p w14:paraId="26118FDE" w14:textId="77777777" w:rsidR="00BB5F5F" w:rsidRPr="00CE6F7F" w:rsidRDefault="00BB5F5F" w:rsidP="00641776">
            <w:pPr>
              <w:pStyle w:val="ListParagraph"/>
              <w:numPr>
                <w:ilvl w:val="0"/>
                <w:numId w:val="17"/>
              </w:numPr>
              <w:rPr>
                <w:rFonts w:ascii="Arial" w:hAnsi="Arial" w:cs="Arial"/>
              </w:rPr>
            </w:pPr>
            <w:r w:rsidRPr="00CE6F7F">
              <w:rPr>
                <w:rFonts w:ascii="Arial" w:hAnsi="Arial" w:cs="Arial"/>
              </w:rPr>
              <w:t xml:space="preserve">0, </w:t>
            </w:r>
          </w:p>
          <w:p w14:paraId="0AC905CD" w14:textId="77777777" w:rsidR="00BB5F5F" w:rsidRPr="00CE6F7F" w:rsidRDefault="00BB5F5F" w:rsidP="00641776">
            <w:pPr>
              <w:pStyle w:val="ListParagraph"/>
              <w:numPr>
                <w:ilvl w:val="0"/>
                <w:numId w:val="17"/>
              </w:numPr>
              <w:rPr>
                <w:rFonts w:ascii="Arial" w:hAnsi="Arial" w:cs="Arial"/>
              </w:rPr>
            </w:pPr>
            <w:r w:rsidRPr="00CE6F7F">
              <w:rPr>
                <w:rFonts w:ascii="Arial" w:hAnsi="Arial" w:cs="Arial"/>
              </w:rPr>
              <w:t>1</w:t>
            </w:r>
          </w:p>
        </w:tc>
      </w:tr>
      <w:tr w:rsidR="00BB5F5F" w:rsidRPr="003F5B5A" w14:paraId="4ECC8F65" w14:textId="77777777" w:rsidTr="00AD4516">
        <w:trPr>
          <w:trHeight w:val="109"/>
        </w:trPr>
        <w:tc>
          <w:tcPr>
            <w:tcW w:w="2875" w:type="dxa"/>
            <w:shd w:val="clear" w:color="auto" w:fill="auto"/>
            <w:hideMark/>
          </w:tcPr>
          <w:p w14:paraId="09F70A14"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18) 3hp_per_protocol</w:t>
            </w:r>
          </w:p>
        </w:tc>
        <w:tc>
          <w:tcPr>
            <w:tcW w:w="3060" w:type="dxa"/>
            <w:shd w:val="clear" w:color="auto" w:fill="auto"/>
            <w:hideMark/>
          </w:tcPr>
          <w:p w14:paraId="654A5B68"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Binary Indicator for subjects in RISK11+/3HP+ group that had treatment as per protocol</w:t>
            </w:r>
          </w:p>
        </w:tc>
        <w:tc>
          <w:tcPr>
            <w:tcW w:w="1080" w:type="dxa"/>
          </w:tcPr>
          <w:p w14:paraId="70A1A32F" w14:textId="77777777" w:rsidR="00BB5F5F" w:rsidRPr="00CE6F7F" w:rsidRDefault="00BB5F5F" w:rsidP="00641776">
            <w:pPr>
              <w:pStyle w:val="HTMLPreformatted"/>
              <w:shd w:val="clear" w:color="auto" w:fill="FFFFFF"/>
              <w:ind w:left="360"/>
              <w:rPr>
                <w:rFonts w:ascii="Arial" w:hAnsi="Arial" w:cs="Arial"/>
              </w:rPr>
            </w:pPr>
            <w:r w:rsidRPr="00CE6F7F">
              <w:rPr>
                <w:rFonts w:ascii="Arial" w:hAnsi="Arial" w:cs="Arial"/>
              </w:rPr>
              <w:t>int</w:t>
            </w:r>
          </w:p>
        </w:tc>
        <w:tc>
          <w:tcPr>
            <w:tcW w:w="2610" w:type="dxa"/>
            <w:shd w:val="clear" w:color="auto" w:fill="auto"/>
          </w:tcPr>
          <w:p w14:paraId="03FE2C54" w14:textId="77777777" w:rsidR="00BB5F5F" w:rsidRPr="00CE6F7F" w:rsidRDefault="00BB5F5F" w:rsidP="00641776">
            <w:pPr>
              <w:pStyle w:val="HTMLPreformatted"/>
              <w:numPr>
                <w:ilvl w:val="0"/>
                <w:numId w:val="4"/>
              </w:numPr>
              <w:shd w:val="clear" w:color="auto" w:fill="FFFFFF"/>
              <w:rPr>
                <w:rFonts w:ascii="Arial" w:hAnsi="Arial" w:cs="Arial"/>
              </w:rPr>
            </w:pPr>
            <w:r w:rsidRPr="00CE6F7F">
              <w:rPr>
                <w:rFonts w:ascii="Arial" w:hAnsi="Arial" w:cs="Arial"/>
              </w:rPr>
              <w:t>0,</w:t>
            </w:r>
          </w:p>
          <w:p w14:paraId="48F73582" w14:textId="77777777" w:rsidR="00BB5F5F" w:rsidRPr="00CE6F7F" w:rsidRDefault="00BB5F5F" w:rsidP="00641776">
            <w:pPr>
              <w:pStyle w:val="HTMLPreformatted"/>
              <w:numPr>
                <w:ilvl w:val="0"/>
                <w:numId w:val="4"/>
              </w:numPr>
              <w:shd w:val="clear" w:color="auto" w:fill="FFFFFF"/>
              <w:rPr>
                <w:rFonts w:ascii="Arial" w:hAnsi="Arial" w:cs="Arial"/>
              </w:rPr>
            </w:pPr>
            <w:r w:rsidRPr="00CE6F7F">
              <w:rPr>
                <w:rFonts w:ascii="Arial" w:hAnsi="Arial" w:cs="Arial"/>
              </w:rPr>
              <w:t>1</w:t>
            </w:r>
          </w:p>
        </w:tc>
      </w:tr>
      <w:tr w:rsidR="00BB5F5F" w:rsidRPr="003F5B5A" w14:paraId="1C149DA6" w14:textId="77777777" w:rsidTr="00AD4516">
        <w:trPr>
          <w:trHeight w:val="138"/>
        </w:trPr>
        <w:tc>
          <w:tcPr>
            <w:tcW w:w="2875" w:type="dxa"/>
            <w:shd w:val="clear" w:color="auto" w:fill="auto"/>
            <w:hideMark/>
          </w:tcPr>
          <w:p w14:paraId="18A6075C"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19) risk11_weights</w:t>
            </w:r>
          </w:p>
        </w:tc>
        <w:tc>
          <w:tcPr>
            <w:tcW w:w="3060" w:type="dxa"/>
            <w:shd w:val="clear" w:color="auto" w:fill="auto"/>
            <w:hideMark/>
          </w:tcPr>
          <w:p w14:paraId="34751CF4"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Weights based on RISK11 status (weights for RISK11+ and RISK11- subjects) to correct for RISK11+ enrichment in trial</w:t>
            </w:r>
          </w:p>
        </w:tc>
        <w:tc>
          <w:tcPr>
            <w:tcW w:w="1080" w:type="dxa"/>
          </w:tcPr>
          <w:p w14:paraId="0BE48FE4" w14:textId="77777777" w:rsidR="00BB5F5F" w:rsidRPr="00CE6F7F" w:rsidRDefault="00BB5F5F" w:rsidP="00641776">
            <w:pPr>
              <w:pStyle w:val="HTMLPreformatted"/>
              <w:shd w:val="clear" w:color="auto" w:fill="FFFFFF"/>
              <w:ind w:left="360"/>
              <w:rPr>
                <w:rStyle w:val="gd15mcfceub"/>
                <w:rFonts w:ascii="Arial" w:hAnsi="Arial" w:cs="Arial"/>
                <w:color w:val="000000"/>
                <w:bdr w:val="none" w:sz="0" w:space="0" w:color="auto" w:frame="1"/>
              </w:rPr>
            </w:pPr>
            <w:r w:rsidRPr="00CE6F7F">
              <w:rPr>
                <w:rFonts w:ascii="Arial" w:hAnsi="Arial" w:cs="Arial"/>
              </w:rPr>
              <w:t>num</w:t>
            </w:r>
          </w:p>
        </w:tc>
        <w:tc>
          <w:tcPr>
            <w:tcW w:w="2610" w:type="dxa"/>
            <w:shd w:val="clear" w:color="auto" w:fill="auto"/>
          </w:tcPr>
          <w:p w14:paraId="5A70C9BC" w14:textId="77777777" w:rsidR="00BB5F5F" w:rsidRPr="00CE6F7F" w:rsidRDefault="00BB5F5F" w:rsidP="00641776">
            <w:pPr>
              <w:pStyle w:val="HTMLPreformatted"/>
              <w:numPr>
                <w:ilvl w:val="0"/>
                <w:numId w:val="18"/>
              </w:numPr>
              <w:shd w:val="clear" w:color="auto" w:fill="FFFFFF"/>
              <w:rPr>
                <w:rStyle w:val="gd15mcfceub"/>
                <w:rFonts w:ascii="Arial" w:hAnsi="Arial" w:cs="Arial"/>
                <w:color w:val="000000"/>
                <w:bdr w:val="none" w:sz="0" w:space="0" w:color="auto" w:frame="1"/>
              </w:rPr>
            </w:pPr>
            <w:r w:rsidRPr="00CE6F7F">
              <w:rPr>
                <w:rStyle w:val="gd15mcfceub"/>
                <w:rFonts w:ascii="Arial" w:hAnsi="Arial" w:cs="Arial"/>
                <w:color w:val="000000"/>
                <w:bdr w:val="none" w:sz="0" w:space="0" w:color="auto" w:frame="1"/>
              </w:rPr>
              <w:t xml:space="preserve">0, </w:t>
            </w:r>
          </w:p>
          <w:p w14:paraId="33F81C12" w14:textId="77777777" w:rsidR="00BB5F5F" w:rsidRPr="00CE6F7F" w:rsidRDefault="00BB5F5F" w:rsidP="00641776">
            <w:pPr>
              <w:pStyle w:val="HTMLPreformatted"/>
              <w:numPr>
                <w:ilvl w:val="0"/>
                <w:numId w:val="18"/>
              </w:numPr>
              <w:shd w:val="clear" w:color="auto" w:fill="FFFFFF"/>
              <w:rPr>
                <w:rStyle w:val="gd15mcfceub"/>
                <w:rFonts w:ascii="Arial" w:hAnsi="Arial" w:cs="Arial"/>
                <w:color w:val="000000"/>
                <w:bdr w:val="none" w:sz="0" w:space="0" w:color="auto" w:frame="1"/>
              </w:rPr>
            </w:pPr>
            <w:r w:rsidRPr="00CE6F7F">
              <w:rPr>
                <w:rStyle w:val="gd15mcfceub"/>
                <w:rFonts w:ascii="Arial" w:hAnsi="Arial" w:cs="Arial"/>
                <w:color w:val="000000"/>
                <w:bdr w:val="none" w:sz="0" w:space="0" w:color="auto" w:frame="1"/>
              </w:rPr>
              <w:t xml:space="preserve">1.2634, </w:t>
            </w:r>
          </w:p>
          <w:p w14:paraId="5059B229" w14:textId="77777777" w:rsidR="00BB5F5F" w:rsidRPr="00CE6F7F" w:rsidRDefault="00BB5F5F" w:rsidP="00641776">
            <w:pPr>
              <w:pStyle w:val="HTMLPreformatted"/>
              <w:numPr>
                <w:ilvl w:val="0"/>
                <w:numId w:val="18"/>
              </w:numPr>
              <w:shd w:val="clear" w:color="auto" w:fill="FFFFFF"/>
              <w:rPr>
                <w:rFonts w:ascii="Arial" w:hAnsi="Arial" w:cs="Arial"/>
                <w:color w:val="000000"/>
                <w:bdr w:val="none" w:sz="0" w:space="0" w:color="auto" w:frame="1"/>
              </w:rPr>
            </w:pPr>
            <w:r w:rsidRPr="00CE6F7F">
              <w:rPr>
                <w:rStyle w:val="gd15mcfceub"/>
                <w:rFonts w:ascii="Arial" w:hAnsi="Arial" w:cs="Arial"/>
                <w:color w:val="000000"/>
                <w:bdr w:val="none" w:sz="0" w:space="0" w:color="auto" w:frame="1"/>
              </w:rPr>
              <w:t>7.9198</w:t>
            </w:r>
          </w:p>
        </w:tc>
      </w:tr>
      <w:tr w:rsidR="00BB5F5F" w:rsidRPr="003F5B5A" w14:paraId="1E5D4C5C" w14:textId="77777777" w:rsidTr="00AD4516">
        <w:trPr>
          <w:trHeight w:val="226"/>
        </w:trPr>
        <w:tc>
          <w:tcPr>
            <w:tcW w:w="2875" w:type="dxa"/>
            <w:shd w:val="clear" w:color="auto" w:fill="auto"/>
            <w:hideMark/>
          </w:tcPr>
          <w:p w14:paraId="5DF0991C"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 xml:space="preserve">20) </w:t>
            </w:r>
            <w:proofErr w:type="spellStart"/>
            <w:r w:rsidRPr="00CE6F7F">
              <w:rPr>
                <w:rFonts w:ascii="Arial" w:hAnsi="Arial" w:cs="Arial"/>
                <w:sz w:val="20"/>
                <w:szCs w:val="20"/>
              </w:rPr>
              <w:t>group_weights</w:t>
            </w:r>
            <w:proofErr w:type="spellEnd"/>
          </w:p>
        </w:tc>
        <w:tc>
          <w:tcPr>
            <w:tcW w:w="3060" w:type="dxa"/>
            <w:shd w:val="clear" w:color="auto" w:fill="auto"/>
            <w:hideMark/>
          </w:tcPr>
          <w:p w14:paraId="722E9CAA" w14:textId="77777777" w:rsidR="00BB5F5F" w:rsidRPr="00CE6F7F" w:rsidRDefault="00BB5F5F" w:rsidP="00641776">
            <w:pPr>
              <w:spacing w:line="240" w:lineRule="auto"/>
              <w:rPr>
                <w:rFonts w:ascii="Arial" w:hAnsi="Arial" w:cs="Arial"/>
                <w:sz w:val="20"/>
                <w:szCs w:val="20"/>
              </w:rPr>
            </w:pPr>
            <w:r w:rsidRPr="00CE6F7F">
              <w:rPr>
                <w:rFonts w:ascii="Arial" w:hAnsi="Arial" w:cs="Arial"/>
                <w:sz w:val="20"/>
                <w:szCs w:val="20"/>
              </w:rPr>
              <w:t>Weights based on group assignment to correct for RISK11+ enrichment in trial</w:t>
            </w:r>
          </w:p>
        </w:tc>
        <w:tc>
          <w:tcPr>
            <w:tcW w:w="1080" w:type="dxa"/>
          </w:tcPr>
          <w:p w14:paraId="013D0944" w14:textId="77777777" w:rsidR="00BB5F5F" w:rsidRPr="00CE6F7F" w:rsidRDefault="00BB5F5F" w:rsidP="00641776">
            <w:pPr>
              <w:pStyle w:val="HTMLPreformatted"/>
              <w:shd w:val="clear" w:color="auto" w:fill="FFFFFF"/>
              <w:ind w:left="360"/>
              <w:rPr>
                <w:rStyle w:val="gd15mcfceub"/>
                <w:rFonts w:ascii="Arial" w:hAnsi="Arial" w:cs="Arial"/>
                <w:color w:val="000000"/>
                <w:bdr w:val="none" w:sz="0" w:space="0" w:color="auto" w:frame="1"/>
              </w:rPr>
            </w:pPr>
            <w:r w:rsidRPr="00CE6F7F">
              <w:rPr>
                <w:rFonts w:ascii="Arial" w:hAnsi="Arial" w:cs="Arial"/>
              </w:rPr>
              <w:t>num</w:t>
            </w:r>
          </w:p>
        </w:tc>
        <w:tc>
          <w:tcPr>
            <w:tcW w:w="2610" w:type="dxa"/>
            <w:shd w:val="clear" w:color="auto" w:fill="auto"/>
          </w:tcPr>
          <w:p w14:paraId="1D993193" w14:textId="77777777" w:rsidR="00BB5F5F" w:rsidRPr="00CE6F7F" w:rsidRDefault="00BB5F5F" w:rsidP="00641776">
            <w:pPr>
              <w:pStyle w:val="HTMLPreformatted"/>
              <w:numPr>
                <w:ilvl w:val="0"/>
                <w:numId w:val="19"/>
              </w:numPr>
              <w:shd w:val="clear" w:color="auto" w:fill="FFFFFF"/>
              <w:rPr>
                <w:rStyle w:val="gd15mcfceub"/>
                <w:rFonts w:ascii="Arial" w:hAnsi="Arial" w:cs="Arial"/>
                <w:color w:val="000000"/>
                <w:bdr w:val="none" w:sz="0" w:space="0" w:color="auto" w:frame="1"/>
              </w:rPr>
            </w:pPr>
            <w:r w:rsidRPr="00CE6F7F">
              <w:rPr>
                <w:rStyle w:val="gd15mcfceub"/>
                <w:rFonts w:ascii="Arial" w:hAnsi="Arial" w:cs="Arial"/>
                <w:color w:val="000000"/>
                <w:bdr w:val="none" w:sz="0" w:space="0" w:color="auto" w:frame="1"/>
              </w:rPr>
              <w:t xml:space="preserve">0, </w:t>
            </w:r>
          </w:p>
          <w:p w14:paraId="190F8CE7" w14:textId="77777777" w:rsidR="00BB5F5F" w:rsidRPr="00CE6F7F" w:rsidRDefault="00BB5F5F" w:rsidP="00641776">
            <w:pPr>
              <w:pStyle w:val="HTMLPreformatted"/>
              <w:numPr>
                <w:ilvl w:val="0"/>
                <w:numId w:val="19"/>
              </w:numPr>
              <w:shd w:val="clear" w:color="auto" w:fill="FFFFFF"/>
              <w:rPr>
                <w:rStyle w:val="gd15mcfceub"/>
                <w:rFonts w:ascii="Arial" w:hAnsi="Arial" w:cs="Arial"/>
                <w:color w:val="000000"/>
                <w:bdr w:val="none" w:sz="0" w:space="0" w:color="auto" w:frame="1"/>
              </w:rPr>
            </w:pPr>
            <w:r w:rsidRPr="00CE6F7F">
              <w:rPr>
                <w:rStyle w:val="gd15mcfceub"/>
                <w:rFonts w:ascii="Arial" w:hAnsi="Arial" w:cs="Arial"/>
                <w:color w:val="000000"/>
                <w:bdr w:val="none" w:sz="0" w:space="0" w:color="auto" w:frame="1"/>
              </w:rPr>
              <w:t xml:space="preserve">1.8835, </w:t>
            </w:r>
          </w:p>
          <w:p w14:paraId="049D3740" w14:textId="77777777" w:rsidR="00BB5F5F" w:rsidRPr="00CE6F7F" w:rsidRDefault="00BB5F5F" w:rsidP="00641776">
            <w:pPr>
              <w:pStyle w:val="HTMLPreformatted"/>
              <w:numPr>
                <w:ilvl w:val="0"/>
                <w:numId w:val="19"/>
              </w:numPr>
              <w:shd w:val="clear" w:color="auto" w:fill="FFFFFF"/>
              <w:rPr>
                <w:rFonts w:ascii="Arial" w:hAnsi="Arial" w:cs="Arial"/>
              </w:rPr>
            </w:pPr>
            <w:r w:rsidRPr="00CE6F7F">
              <w:rPr>
                <w:rStyle w:val="gd15mcfceub"/>
                <w:rFonts w:ascii="Arial" w:hAnsi="Arial" w:cs="Arial"/>
                <w:color w:val="000000"/>
                <w:bdr w:val="none" w:sz="0" w:space="0" w:color="auto" w:frame="1"/>
              </w:rPr>
              <w:t>3.8373</w:t>
            </w:r>
          </w:p>
        </w:tc>
      </w:tr>
      <w:tr w:rsidR="00790DBC" w:rsidRPr="003F5B5A" w14:paraId="2AAA907A" w14:textId="77777777" w:rsidTr="00AD4516">
        <w:trPr>
          <w:trHeight w:val="226"/>
        </w:trPr>
        <w:tc>
          <w:tcPr>
            <w:tcW w:w="2875" w:type="dxa"/>
            <w:shd w:val="clear" w:color="auto" w:fill="auto"/>
          </w:tcPr>
          <w:p w14:paraId="7F35B1A2" w14:textId="331D8862" w:rsidR="00790DBC" w:rsidRPr="00CE6F7F" w:rsidRDefault="00790DBC" w:rsidP="00641776">
            <w:pPr>
              <w:spacing w:line="240" w:lineRule="auto"/>
              <w:rPr>
                <w:rFonts w:ascii="Arial" w:hAnsi="Arial" w:cs="Arial"/>
                <w:sz w:val="20"/>
                <w:szCs w:val="20"/>
              </w:rPr>
            </w:pPr>
            <w:r w:rsidRPr="00CE6F7F">
              <w:rPr>
                <w:rFonts w:ascii="Arial" w:hAnsi="Arial" w:cs="Arial"/>
                <w:sz w:val="20"/>
                <w:szCs w:val="20"/>
              </w:rPr>
              <w:t xml:space="preserve">21) </w:t>
            </w:r>
            <w:proofErr w:type="spellStart"/>
            <w:r w:rsidRPr="00CE6F7F">
              <w:rPr>
                <w:rFonts w:ascii="Arial" w:hAnsi="Arial" w:cs="Arial"/>
                <w:sz w:val="20"/>
                <w:szCs w:val="20"/>
              </w:rPr>
              <w:t>IGRAscore</w:t>
            </w:r>
            <w:proofErr w:type="spellEnd"/>
          </w:p>
        </w:tc>
        <w:tc>
          <w:tcPr>
            <w:tcW w:w="3060" w:type="dxa"/>
            <w:shd w:val="clear" w:color="auto" w:fill="auto"/>
          </w:tcPr>
          <w:p w14:paraId="49EC9C72" w14:textId="5E0DA820" w:rsidR="00790DBC" w:rsidRPr="00CE6F7F" w:rsidRDefault="00790DBC" w:rsidP="00641776">
            <w:pPr>
              <w:spacing w:line="240" w:lineRule="auto"/>
              <w:rPr>
                <w:rFonts w:ascii="Arial" w:hAnsi="Arial" w:cs="Arial"/>
                <w:sz w:val="20"/>
                <w:szCs w:val="20"/>
              </w:rPr>
            </w:pPr>
            <w:r w:rsidRPr="00CE6F7F">
              <w:rPr>
                <w:rFonts w:ascii="Arial" w:hAnsi="Arial" w:cs="Arial"/>
                <w:sz w:val="20"/>
                <w:szCs w:val="20"/>
              </w:rPr>
              <w:t>IGRA score</w:t>
            </w:r>
          </w:p>
        </w:tc>
        <w:tc>
          <w:tcPr>
            <w:tcW w:w="1080" w:type="dxa"/>
          </w:tcPr>
          <w:p w14:paraId="153AA05A" w14:textId="1AED1E40" w:rsidR="00790DBC" w:rsidRPr="00CE6F7F" w:rsidRDefault="00790DBC" w:rsidP="00641776">
            <w:pPr>
              <w:pStyle w:val="HTMLPreformatted"/>
              <w:shd w:val="clear" w:color="auto" w:fill="FFFFFF"/>
              <w:ind w:left="360"/>
              <w:rPr>
                <w:rFonts w:ascii="Arial" w:hAnsi="Arial" w:cs="Arial"/>
              </w:rPr>
            </w:pPr>
            <w:r w:rsidRPr="00CE6F7F">
              <w:rPr>
                <w:rFonts w:ascii="Arial" w:hAnsi="Arial" w:cs="Arial"/>
              </w:rPr>
              <w:t>num</w:t>
            </w:r>
          </w:p>
        </w:tc>
        <w:tc>
          <w:tcPr>
            <w:tcW w:w="2610" w:type="dxa"/>
            <w:shd w:val="clear" w:color="auto" w:fill="auto"/>
          </w:tcPr>
          <w:p w14:paraId="4274837D" w14:textId="50D0D505" w:rsidR="00790DBC" w:rsidRPr="00CE6F7F" w:rsidRDefault="00790DBC" w:rsidP="00641776">
            <w:pPr>
              <w:pStyle w:val="HTMLPreformatted"/>
              <w:shd w:val="clear" w:color="auto" w:fill="FFFFFF"/>
              <w:rPr>
                <w:rStyle w:val="gd15mcfceub"/>
                <w:rFonts w:ascii="Arial" w:hAnsi="Arial" w:cs="Arial"/>
                <w:color w:val="000000"/>
                <w:bdr w:val="none" w:sz="0" w:space="0" w:color="auto" w:frame="1"/>
              </w:rPr>
            </w:pPr>
            <w:r w:rsidRPr="00CE6F7F">
              <w:rPr>
                <w:rStyle w:val="gd15mcfceub"/>
                <w:rFonts w:ascii="Arial" w:hAnsi="Arial" w:cs="Arial"/>
                <w:color w:val="000000"/>
                <w:bdr w:val="none" w:sz="0" w:space="0" w:color="auto" w:frame="1"/>
              </w:rPr>
              <w:t xml:space="preserve">     1. 0.02, </w:t>
            </w:r>
          </w:p>
          <w:p w14:paraId="1C2AF2F7" w14:textId="719619AE" w:rsidR="00790DBC" w:rsidRPr="00CE6F7F" w:rsidRDefault="00790DBC" w:rsidP="00641776">
            <w:pPr>
              <w:pStyle w:val="HTMLPreformatted"/>
              <w:shd w:val="clear" w:color="auto" w:fill="FFFFFF"/>
              <w:rPr>
                <w:rStyle w:val="gd15mcfceub"/>
                <w:rFonts w:ascii="Arial" w:hAnsi="Arial" w:cs="Arial"/>
                <w:color w:val="000000"/>
                <w:bdr w:val="none" w:sz="0" w:space="0" w:color="auto" w:frame="1"/>
              </w:rPr>
            </w:pPr>
            <w:r w:rsidRPr="00CE6F7F">
              <w:rPr>
                <w:rStyle w:val="gd15mcfceub"/>
                <w:rFonts w:ascii="Arial" w:hAnsi="Arial" w:cs="Arial"/>
                <w:color w:val="000000"/>
                <w:bdr w:val="none" w:sz="0" w:space="0" w:color="auto" w:frame="1"/>
              </w:rPr>
              <w:t xml:space="preserve">     2. 4.62,</w:t>
            </w:r>
          </w:p>
          <w:p w14:paraId="0526557F" w14:textId="7E1495A2" w:rsidR="00790DBC" w:rsidRPr="00CE6F7F" w:rsidRDefault="00790DBC" w:rsidP="00641776">
            <w:pPr>
              <w:pStyle w:val="HTMLPreformatted"/>
              <w:shd w:val="clear" w:color="auto" w:fill="FFFFFF"/>
              <w:rPr>
                <w:rStyle w:val="gd15mcfceub"/>
                <w:rFonts w:ascii="Arial" w:hAnsi="Arial" w:cs="Arial"/>
                <w:color w:val="000000"/>
                <w:bdr w:val="none" w:sz="0" w:space="0" w:color="auto" w:frame="1"/>
              </w:rPr>
            </w:pPr>
            <w:r w:rsidRPr="00CE6F7F">
              <w:rPr>
                <w:rStyle w:val="gd15mcfceub"/>
                <w:rFonts w:ascii="Arial" w:hAnsi="Arial" w:cs="Arial"/>
                <w:color w:val="000000"/>
                <w:bdr w:val="none" w:sz="0" w:space="0" w:color="auto" w:frame="1"/>
              </w:rPr>
              <w:lastRenderedPageBreak/>
              <w:t xml:space="preserve">     3. 9.41</w:t>
            </w:r>
          </w:p>
        </w:tc>
      </w:tr>
      <w:tr w:rsidR="00790DBC" w:rsidRPr="003F5B5A" w14:paraId="46C07FC2" w14:textId="77777777" w:rsidTr="00AD4516">
        <w:trPr>
          <w:trHeight w:val="226"/>
        </w:trPr>
        <w:tc>
          <w:tcPr>
            <w:tcW w:w="2875" w:type="dxa"/>
            <w:shd w:val="clear" w:color="auto" w:fill="auto"/>
          </w:tcPr>
          <w:p w14:paraId="159B3146" w14:textId="58331544" w:rsidR="00790DBC" w:rsidRPr="00CE6F7F" w:rsidRDefault="00790DBC" w:rsidP="00641776">
            <w:pPr>
              <w:spacing w:line="240" w:lineRule="auto"/>
              <w:rPr>
                <w:rFonts w:ascii="Arial" w:hAnsi="Arial" w:cs="Arial"/>
                <w:sz w:val="20"/>
                <w:szCs w:val="20"/>
              </w:rPr>
            </w:pPr>
            <w:r w:rsidRPr="00CE6F7F">
              <w:rPr>
                <w:rFonts w:ascii="Arial" w:hAnsi="Arial" w:cs="Arial"/>
                <w:sz w:val="20"/>
                <w:szCs w:val="20"/>
              </w:rPr>
              <w:lastRenderedPageBreak/>
              <w:t xml:space="preserve">22) </w:t>
            </w:r>
            <w:proofErr w:type="spellStart"/>
            <w:r w:rsidRPr="00CE6F7F">
              <w:rPr>
                <w:rFonts w:ascii="Arial" w:hAnsi="Arial" w:cs="Arial"/>
                <w:sz w:val="20"/>
                <w:szCs w:val="20"/>
              </w:rPr>
              <w:t>IGRAstatus</w:t>
            </w:r>
            <w:proofErr w:type="spellEnd"/>
          </w:p>
        </w:tc>
        <w:tc>
          <w:tcPr>
            <w:tcW w:w="3060" w:type="dxa"/>
            <w:shd w:val="clear" w:color="auto" w:fill="auto"/>
          </w:tcPr>
          <w:p w14:paraId="7DBE04A6" w14:textId="3DF66EF8" w:rsidR="00790DBC" w:rsidRPr="00CE6F7F" w:rsidRDefault="00790DBC" w:rsidP="00641776">
            <w:pPr>
              <w:spacing w:line="240" w:lineRule="auto"/>
              <w:rPr>
                <w:rFonts w:ascii="Arial" w:hAnsi="Arial" w:cs="Arial"/>
                <w:sz w:val="20"/>
                <w:szCs w:val="20"/>
              </w:rPr>
            </w:pPr>
            <w:r w:rsidRPr="00CE6F7F">
              <w:rPr>
                <w:rFonts w:ascii="Arial" w:hAnsi="Arial" w:cs="Arial"/>
                <w:sz w:val="20"/>
                <w:szCs w:val="20"/>
              </w:rPr>
              <w:t>IGRA status is positive if the max of IGRA score for tb1 and tb2 antigens is ≥ 0.35.</w:t>
            </w:r>
          </w:p>
        </w:tc>
        <w:tc>
          <w:tcPr>
            <w:tcW w:w="1080" w:type="dxa"/>
          </w:tcPr>
          <w:p w14:paraId="7DC54A50" w14:textId="48DA2F1B" w:rsidR="00790DBC" w:rsidRPr="00CE6F7F" w:rsidRDefault="00790DBC" w:rsidP="00641776">
            <w:pPr>
              <w:pStyle w:val="HTMLPreformatted"/>
              <w:shd w:val="clear" w:color="auto" w:fill="FFFFFF"/>
              <w:ind w:left="360"/>
              <w:rPr>
                <w:rFonts w:ascii="Arial" w:hAnsi="Arial" w:cs="Arial"/>
              </w:rPr>
            </w:pPr>
            <w:r w:rsidRPr="00CE6F7F">
              <w:rPr>
                <w:rFonts w:ascii="Arial" w:hAnsi="Arial" w:cs="Arial"/>
              </w:rPr>
              <w:t>char</w:t>
            </w:r>
          </w:p>
        </w:tc>
        <w:tc>
          <w:tcPr>
            <w:tcW w:w="2610" w:type="dxa"/>
            <w:shd w:val="clear" w:color="auto" w:fill="auto"/>
          </w:tcPr>
          <w:p w14:paraId="4148D742" w14:textId="77777777" w:rsidR="00790DBC" w:rsidRPr="00CE6F7F" w:rsidRDefault="00790DBC" w:rsidP="00641776">
            <w:pPr>
              <w:pStyle w:val="HTMLPreformatted"/>
              <w:shd w:val="clear" w:color="auto" w:fill="FFFFFF"/>
              <w:rPr>
                <w:rStyle w:val="gd15mcfceub"/>
                <w:rFonts w:ascii="Arial" w:hAnsi="Arial" w:cs="Arial"/>
                <w:color w:val="000000"/>
                <w:bdr w:val="none" w:sz="0" w:space="0" w:color="auto" w:frame="1"/>
              </w:rPr>
            </w:pPr>
            <w:r w:rsidRPr="00CE6F7F">
              <w:rPr>
                <w:rStyle w:val="gd15mcfceub"/>
                <w:rFonts w:ascii="Arial" w:hAnsi="Arial" w:cs="Arial"/>
                <w:color w:val="000000"/>
                <w:bdr w:val="none" w:sz="0" w:space="0" w:color="auto" w:frame="1"/>
              </w:rPr>
              <w:t xml:space="preserve">     1. IGRA+</w:t>
            </w:r>
          </w:p>
          <w:p w14:paraId="14C0E291" w14:textId="1A127B41" w:rsidR="00790DBC" w:rsidRPr="00CE6F7F" w:rsidRDefault="00790DBC" w:rsidP="00641776">
            <w:pPr>
              <w:pStyle w:val="HTMLPreformatted"/>
              <w:shd w:val="clear" w:color="auto" w:fill="FFFFFF"/>
              <w:rPr>
                <w:rStyle w:val="gd15mcfceub"/>
                <w:rFonts w:ascii="Arial" w:hAnsi="Arial" w:cs="Arial"/>
                <w:color w:val="000000"/>
                <w:bdr w:val="none" w:sz="0" w:space="0" w:color="auto" w:frame="1"/>
              </w:rPr>
            </w:pPr>
            <w:r w:rsidRPr="00CE6F7F">
              <w:rPr>
                <w:rStyle w:val="gd15mcfceub"/>
                <w:rFonts w:ascii="Arial" w:hAnsi="Arial" w:cs="Arial"/>
                <w:color w:val="000000"/>
                <w:bdr w:val="none" w:sz="0" w:space="0" w:color="auto" w:frame="1"/>
              </w:rPr>
              <w:t xml:space="preserve">     2. IGRA-</w:t>
            </w:r>
          </w:p>
        </w:tc>
      </w:tr>
      <w:tr w:rsidR="00F86334" w:rsidRPr="003F5B5A" w14:paraId="21EC9CD6" w14:textId="77777777" w:rsidTr="00AD4516">
        <w:trPr>
          <w:trHeight w:val="226"/>
        </w:trPr>
        <w:tc>
          <w:tcPr>
            <w:tcW w:w="2875" w:type="dxa"/>
            <w:shd w:val="clear" w:color="auto" w:fill="auto"/>
          </w:tcPr>
          <w:p w14:paraId="6D6CAA2F" w14:textId="64983708" w:rsidR="00F86334" w:rsidRPr="00CE6F7F" w:rsidRDefault="00F86334" w:rsidP="00641776">
            <w:pPr>
              <w:spacing w:line="240" w:lineRule="auto"/>
              <w:rPr>
                <w:rFonts w:ascii="Arial" w:hAnsi="Arial" w:cs="Arial"/>
                <w:sz w:val="20"/>
                <w:szCs w:val="20"/>
              </w:rPr>
            </w:pPr>
            <w:r>
              <w:rPr>
                <w:rFonts w:ascii="Arial" w:hAnsi="Arial" w:cs="Arial"/>
                <w:sz w:val="20"/>
                <w:szCs w:val="20"/>
              </w:rPr>
              <w:t>23) gender</w:t>
            </w:r>
          </w:p>
        </w:tc>
        <w:tc>
          <w:tcPr>
            <w:tcW w:w="3060" w:type="dxa"/>
            <w:shd w:val="clear" w:color="auto" w:fill="auto"/>
          </w:tcPr>
          <w:p w14:paraId="7CC9B48C" w14:textId="43004F54" w:rsidR="00F86334" w:rsidRPr="00CE6F7F" w:rsidRDefault="00F86334" w:rsidP="00641776">
            <w:pPr>
              <w:spacing w:line="240" w:lineRule="auto"/>
              <w:rPr>
                <w:rFonts w:ascii="Arial" w:hAnsi="Arial" w:cs="Arial"/>
                <w:sz w:val="20"/>
                <w:szCs w:val="20"/>
              </w:rPr>
            </w:pPr>
            <w:r>
              <w:rPr>
                <w:rFonts w:ascii="Arial" w:hAnsi="Arial" w:cs="Arial"/>
                <w:sz w:val="20"/>
                <w:szCs w:val="20"/>
              </w:rPr>
              <w:t>Participant gender</w:t>
            </w:r>
          </w:p>
        </w:tc>
        <w:tc>
          <w:tcPr>
            <w:tcW w:w="1080" w:type="dxa"/>
          </w:tcPr>
          <w:p w14:paraId="61205937" w14:textId="10ABB7BD" w:rsidR="00F86334" w:rsidRPr="00CE6F7F" w:rsidRDefault="00F86334" w:rsidP="00641776">
            <w:pPr>
              <w:pStyle w:val="HTMLPreformatted"/>
              <w:shd w:val="clear" w:color="auto" w:fill="FFFFFF"/>
              <w:ind w:left="360"/>
              <w:rPr>
                <w:rFonts w:ascii="Arial" w:hAnsi="Arial" w:cs="Arial"/>
              </w:rPr>
            </w:pPr>
            <w:r>
              <w:rPr>
                <w:rFonts w:ascii="Arial" w:hAnsi="Arial" w:cs="Arial"/>
              </w:rPr>
              <w:t>char</w:t>
            </w:r>
          </w:p>
        </w:tc>
        <w:tc>
          <w:tcPr>
            <w:tcW w:w="2610" w:type="dxa"/>
            <w:shd w:val="clear" w:color="auto" w:fill="auto"/>
          </w:tcPr>
          <w:p w14:paraId="6AE0146B" w14:textId="77777777" w:rsidR="00F86334" w:rsidRDefault="00F86334" w:rsidP="00641776">
            <w:pPr>
              <w:pStyle w:val="HTMLPreformatted"/>
              <w:shd w:val="clear" w:color="auto" w:fill="FFFFFF"/>
              <w:rPr>
                <w:rStyle w:val="gd15mcfceub"/>
                <w:rFonts w:ascii="Arial" w:hAnsi="Arial" w:cs="Arial"/>
                <w:color w:val="000000"/>
                <w:bdr w:val="none" w:sz="0" w:space="0" w:color="auto" w:frame="1"/>
              </w:rPr>
            </w:pPr>
            <w:r>
              <w:rPr>
                <w:rStyle w:val="gd15mcfceub"/>
                <w:rFonts w:ascii="Arial" w:hAnsi="Arial" w:cs="Arial"/>
                <w:color w:val="000000"/>
                <w:bdr w:val="none" w:sz="0" w:space="0" w:color="auto" w:frame="1"/>
              </w:rPr>
              <w:t>1. MALE</w:t>
            </w:r>
          </w:p>
          <w:p w14:paraId="310B84A6" w14:textId="09786E51" w:rsidR="00F86334" w:rsidRPr="00CE6F7F" w:rsidRDefault="00F86334" w:rsidP="00641776">
            <w:pPr>
              <w:pStyle w:val="HTMLPreformatted"/>
              <w:shd w:val="clear" w:color="auto" w:fill="FFFFFF"/>
              <w:rPr>
                <w:rStyle w:val="gd15mcfceub"/>
                <w:rFonts w:ascii="Arial" w:hAnsi="Arial" w:cs="Arial"/>
                <w:color w:val="000000"/>
                <w:bdr w:val="none" w:sz="0" w:space="0" w:color="auto" w:frame="1"/>
              </w:rPr>
            </w:pPr>
            <w:r>
              <w:rPr>
                <w:rStyle w:val="gd15mcfceub"/>
                <w:rFonts w:ascii="Arial" w:hAnsi="Arial" w:cs="Arial"/>
                <w:color w:val="000000"/>
                <w:bdr w:val="none" w:sz="0" w:space="0" w:color="auto" w:frame="1"/>
              </w:rPr>
              <w:t>2. FEMALE</w:t>
            </w:r>
          </w:p>
        </w:tc>
      </w:tr>
      <w:tr w:rsidR="00F86334" w:rsidRPr="003F5B5A" w14:paraId="42894B4B" w14:textId="77777777" w:rsidTr="00AD4516">
        <w:trPr>
          <w:trHeight w:val="226"/>
        </w:trPr>
        <w:tc>
          <w:tcPr>
            <w:tcW w:w="2875" w:type="dxa"/>
            <w:shd w:val="clear" w:color="auto" w:fill="auto"/>
          </w:tcPr>
          <w:p w14:paraId="033BF9E0" w14:textId="58488EA0" w:rsidR="00F86334" w:rsidRPr="00CE6F7F" w:rsidRDefault="00F86334" w:rsidP="00641776">
            <w:pPr>
              <w:spacing w:line="240" w:lineRule="auto"/>
              <w:rPr>
                <w:rFonts w:ascii="Arial" w:hAnsi="Arial" w:cs="Arial"/>
                <w:sz w:val="20"/>
                <w:szCs w:val="20"/>
              </w:rPr>
            </w:pPr>
            <w:r>
              <w:rPr>
                <w:rFonts w:ascii="Arial" w:hAnsi="Arial" w:cs="Arial"/>
                <w:sz w:val="20"/>
                <w:szCs w:val="20"/>
              </w:rPr>
              <w:t>24) age</w:t>
            </w:r>
          </w:p>
        </w:tc>
        <w:tc>
          <w:tcPr>
            <w:tcW w:w="3060" w:type="dxa"/>
            <w:shd w:val="clear" w:color="auto" w:fill="auto"/>
          </w:tcPr>
          <w:p w14:paraId="2EEDB62E" w14:textId="38562212" w:rsidR="00F86334" w:rsidRPr="00CE6F7F" w:rsidRDefault="00F86334" w:rsidP="00641776">
            <w:pPr>
              <w:spacing w:line="240" w:lineRule="auto"/>
              <w:rPr>
                <w:rFonts w:ascii="Arial" w:hAnsi="Arial" w:cs="Arial"/>
                <w:sz w:val="20"/>
                <w:szCs w:val="20"/>
              </w:rPr>
            </w:pPr>
            <w:r>
              <w:rPr>
                <w:rFonts w:ascii="Arial" w:hAnsi="Arial" w:cs="Arial"/>
                <w:sz w:val="20"/>
                <w:szCs w:val="20"/>
              </w:rPr>
              <w:t>Participant age</w:t>
            </w:r>
          </w:p>
        </w:tc>
        <w:tc>
          <w:tcPr>
            <w:tcW w:w="1080" w:type="dxa"/>
          </w:tcPr>
          <w:p w14:paraId="7072D834" w14:textId="77F6FCEB" w:rsidR="00F86334" w:rsidRPr="00CE6F7F" w:rsidRDefault="00F86334" w:rsidP="00641776">
            <w:pPr>
              <w:pStyle w:val="HTMLPreformatted"/>
              <w:shd w:val="clear" w:color="auto" w:fill="FFFFFF"/>
              <w:ind w:left="360"/>
              <w:rPr>
                <w:rFonts w:ascii="Arial" w:hAnsi="Arial" w:cs="Arial"/>
              </w:rPr>
            </w:pPr>
            <w:r>
              <w:rPr>
                <w:rFonts w:ascii="Arial" w:hAnsi="Arial" w:cs="Arial"/>
              </w:rPr>
              <w:t>num</w:t>
            </w:r>
          </w:p>
        </w:tc>
        <w:tc>
          <w:tcPr>
            <w:tcW w:w="2610" w:type="dxa"/>
            <w:shd w:val="clear" w:color="auto" w:fill="auto"/>
          </w:tcPr>
          <w:p w14:paraId="030CDB4F" w14:textId="7F865592" w:rsidR="00F86334" w:rsidRDefault="00F86334" w:rsidP="00641776">
            <w:pPr>
              <w:pStyle w:val="HTMLPreformatted"/>
              <w:shd w:val="clear" w:color="auto" w:fill="FFFFFF"/>
              <w:rPr>
                <w:rStyle w:val="gd15mcfceub"/>
                <w:rFonts w:ascii="Arial" w:hAnsi="Arial" w:cs="Arial"/>
                <w:color w:val="000000"/>
                <w:bdr w:val="none" w:sz="0" w:space="0" w:color="auto" w:frame="1"/>
              </w:rPr>
            </w:pPr>
            <w:r>
              <w:rPr>
                <w:rStyle w:val="gd15mcfceub"/>
                <w:rFonts w:ascii="Arial" w:hAnsi="Arial" w:cs="Arial"/>
                <w:color w:val="000000"/>
                <w:bdr w:val="none" w:sz="0" w:space="0" w:color="auto" w:frame="1"/>
              </w:rPr>
              <w:t>1. 18,</w:t>
            </w:r>
          </w:p>
          <w:p w14:paraId="26F0B267" w14:textId="23BE6C5C" w:rsidR="00F86334" w:rsidRDefault="00F86334" w:rsidP="00641776">
            <w:pPr>
              <w:pStyle w:val="HTMLPreformatted"/>
              <w:shd w:val="clear" w:color="auto" w:fill="FFFFFF"/>
              <w:rPr>
                <w:rStyle w:val="gd15mcfceub"/>
                <w:rFonts w:ascii="Arial" w:hAnsi="Arial" w:cs="Arial"/>
                <w:color w:val="000000"/>
                <w:bdr w:val="none" w:sz="0" w:space="0" w:color="auto" w:frame="1"/>
              </w:rPr>
            </w:pPr>
            <w:r>
              <w:rPr>
                <w:rStyle w:val="gd15mcfceub"/>
                <w:rFonts w:ascii="Arial" w:hAnsi="Arial" w:cs="Arial"/>
                <w:color w:val="000000"/>
                <w:bdr w:val="none" w:sz="0" w:space="0" w:color="auto" w:frame="1"/>
              </w:rPr>
              <w:t>2. 30.26,</w:t>
            </w:r>
          </w:p>
          <w:p w14:paraId="00DD3D67" w14:textId="63B0D6CC" w:rsidR="00F86334" w:rsidRPr="00CE6F7F" w:rsidRDefault="00F86334" w:rsidP="00641776">
            <w:pPr>
              <w:pStyle w:val="HTMLPreformatted"/>
              <w:shd w:val="clear" w:color="auto" w:fill="FFFFFF"/>
              <w:rPr>
                <w:rStyle w:val="gd15mcfceub"/>
                <w:rFonts w:ascii="Arial" w:hAnsi="Arial" w:cs="Arial"/>
                <w:color w:val="000000"/>
                <w:bdr w:val="none" w:sz="0" w:space="0" w:color="auto" w:frame="1"/>
              </w:rPr>
            </w:pPr>
            <w:r>
              <w:rPr>
                <w:rStyle w:val="gd15mcfceub"/>
                <w:rFonts w:ascii="Arial" w:hAnsi="Arial" w:cs="Arial"/>
                <w:color w:val="000000"/>
                <w:bdr w:val="none" w:sz="0" w:space="0" w:color="auto" w:frame="1"/>
              </w:rPr>
              <w:t>3. 55</w:t>
            </w:r>
          </w:p>
        </w:tc>
      </w:tr>
      <w:tr w:rsidR="00F86334" w:rsidRPr="003F5B5A" w14:paraId="194F50ED" w14:textId="77777777" w:rsidTr="00AD4516">
        <w:trPr>
          <w:trHeight w:val="226"/>
        </w:trPr>
        <w:tc>
          <w:tcPr>
            <w:tcW w:w="2875" w:type="dxa"/>
            <w:shd w:val="clear" w:color="auto" w:fill="auto"/>
          </w:tcPr>
          <w:p w14:paraId="3A433BC8" w14:textId="09C2C8B1" w:rsidR="00F86334" w:rsidRPr="00CE6F7F" w:rsidRDefault="00F86334" w:rsidP="00641776">
            <w:pPr>
              <w:spacing w:line="240" w:lineRule="auto"/>
              <w:rPr>
                <w:rFonts w:ascii="Arial" w:hAnsi="Arial" w:cs="Arial"/>
                <w:sz w:val="20"/>
                <w:szCs w:val="20"/>
              </w:rPr>
            </w:pPr>
            <w:r>
              <w:rPr>
                <w:rFonts w:ascii="Arial" w:hAnsi="Arial" w:cs="Arial"/>
                <w:sz w:val="20"/>
                <w:szCs w:val="20"/>
              </w:rPr>
              <w:t>25) race</w:t>
            </w:r>
          </w:p>
        </w:tc>
        <w:tc>
          <w:tcPr>
            <w:tcW w:w="3060" w:type="dxa"/>
            <w:shd w:val="clear" w:color="auto" w:fill="auto"/>
          </w:tcPr>
          <w:p w14:paraId="405937D4" w14:textId="7A346D93" w:rsidR="00F86334" w:rsidRPr="00CE6F7F" w:rsidRDefault="00F86334" w:rsidP="00641776">
            <w:pPr>
              <w:spacing w:line="240" w:lineRule="auto"/>
              <w:rPr>
                <w:rFonts w:ascii="Arial" w:hAnsi="Arial" w:cs="Arial"/>
                <w:sz w:val="20"/>
                <w:szCs w:val="20"/>
              </w:rPr>
            </w:pPr>
            <w:r>
              <w:rPr>
                <w:rFonts w:ascii="Arial" w:hAnsi="Arial" w:cs="Arial"/>
                <w:sz w:val="20"/>
                <w:szCs w:val="20"/>
              </w:rPr>
              <w:t>Participant race</w:t>
            </w:r>
          </w:p>
        </w:tc>
        <w:tc>
          <w:tcPr>
            <w:tcW w:w="1080" w:type="dxa"/>
          </w:tcPr>
          <w:p w14:paraId="39BFA77E" w14:textId="140527BF" w:rsidR="00F86334" w:rsidRPr="00CE6F7F" w:rsidRDefault="00F86334" w:rsidP="00641776">
            <w:pPr>
              <w:pStyle w:val="HTMLPreformatted"/>
              <w:shd w:val="clear" w:color="auto" w:fill="FFFFFF"/>
              <w:ind w:left="360"/>
              <w:rPr>
                <w:rFonts w:ascii="Arial" w:hAnsi="Arial" w:cs="Arial"/>
              </w:rPr>
            </w:pPr>
            <w:r>
              <w:rPr>
                <w:rFonts w:ascii="Arial" w:hAnsi="Arial" w:cs="Arial"/>
              </w:rPr>
              <w:t>char</w:t>
            </w:r>
          </w:p>
        </w:tc>
        <w:tc>
          <w:tcPr>
            <w:tcW w:w="2610" w:type="dxa"/>
            <w:shd w:val="clear" w:color="auto" w:fill="auto"/>
          </w:tcPr>
          <w:p w14:paraId="152A3B92" w14:textId="77777777" w:rsidR="00F86334" w:rsidRDefault="00F86334" w:rsidP="00641776">
            <w:pPr>
              <w:pStyle w:val="HTMLPreformatted"/>
              <w:shd w:val="clear" w:color="auto" w:fill="FFFFFF"/>
              <w:rPr>
                <w:rStyle w:val="gd15mcfceub"/>
                <w:rFonts w:ascii="Arial" w:hAnsi="Arial" w:cs="Arial"/>
                <w:color w:val="000000"/>
                <w:bdr w:val="none" w:sz="0" w:space="0" w:color="auto" w:frame="1"/>
              </w:rPr>
            </w:pPr>
            <w:r>
              <w:rPr>
                <w:rStyle w:val="gd15mcfceub"/>
                <w:rFonts w:ascii="Arial" w:hAnsi="Arial" w:cs="Arial"/>
                <w:color w:val="000000"/>
                <w:bdr w:val="none" w:sz="0" w:space="0" w:color="auto" w:frame="1"/>
              </w:rPr>
              <w:t>1. ASIAN,</w:t>
            </w:r>
          </w:p>
          <w:p w14:paraId="1C60C946" w14:textId="77777777" w:rsidR="00F86334" w:rsidRDefault="00F86334" w:rsidP="00641776">
            <w:pPr>
              <w:pStyle w:val="HTMLPreformatted"/>
              <w:shd w:val="clear" w:color="auto" w:fill="FFFFFF"/>
              <w:rPr>
                <w:rStyle w:val="gd15mcfceub"/>
                <w:rFonts w:ascii="Arial" w:hAnsi="Arial" w:cs="Arial"/>
                <w:color w:val="000000"/>
                <w:bdr w:val="none" w:sz="0" w:space="0" w:color="auto" w:frame="1"/>
              </w:rPr>
            </w:pPr>
            <w:r>
              <w:rPr>
                <w:rStyle w:val="gd15mcfceub"/>
                <w:rFonts w:ascii="Arial" w:hAnsi="Arial" w:cs="Arial"/>
                <w:color w:val="000000"/>
                <w:bdr w:val="none" w:sz="0" w:space="0" w:color="auto" w:frame="1"/>
              </w:rPr>
              <w:t>2. BLACK,</w:t>
            </w:r>
          </w:p>
          <w:p w14:paraId="2CDF7E34" w14:textId="77777777" w:rsidR="00F86334" w:rsidRDefault="00F86334" w:rsidP="00641776">
            <w:pPr>
              <w:pStyle w:val="HTMLPreformatted"/>
              <w:shd w:val="clear" w:color="auto" w:fill="FFFFFF"/>
              <w:rPr>
                <w:rStyle w:val="gd15mcfceub"/>
                <w:rFonts w:ascii="Arial" w:hAnsi="Arial" w:cs="Arial"/>
                <w:color w:val="000000"/>
                <w:bdr w:val="none" w:sz="0" w:space="0" w:color="auto" w:frame="1"/>
              </w:rPr>
            </w:pPr>
            <w:r>
              <w:rPr>
                <w:rStyle w:val="gd15mcfceub"/>
                <w:rFonts w:ascii="Arial" w:hAnsi="Arial" w:cs="Arial"/>
                <w:color w:val="000000"/>
                <w:bdr w:val="none" w:sz="0" w:space="0" w:color="auto" w:frame="1"/>
              </w:rPr>
              <w:t>3. CAUCASIAN,</w:t>
            </w:r>
          </w:p>
          <w:p w14:paraId="7A44B278" w14:textId="77777777" w:rsidR="00F86334" w:rsidRDefault="00F86334" w:rsidP="00641776">
            <w:pPr>
              <w:pStyle w:val="HTMLPreformatted"/>
              <w:shd w:val="clear" w:color="auto" w:fill="FFFFFF"/>
              <w:rPr>
                <w:rStyle w:val="gd15mcfceub"/>
                <w:rFonts w:ascii="Arial" w:hAnsi="Arial" w:cs="Arial"/>
                <w:color w:val="000000"/>
                <w:bdr w:val="none" w:sz="0" w:space="0" w:color="auto" w:frame="1"/>
              </w:rPr>
            </w:pPr>
            <w:r>
              <w:rPr>
                <w:rStyle w:val="gd15mcfceub"/>
                <w:rFonts w:ascii="Arial" w:hAnsi="Arial" w:cs="Arial"/>
                <w:color w:val="000000"/>
                <w:bdr w:val="none" w:sz="0" w:space="0" w:color="auto" w:frame="1"/>
              </w:rPr>
              <w:t>4. MIXED RACE,</w:t>
            </w:r>
          </w:p>
          <w:p w14:paraId="088960B2" w14:textId="03B242B0" w:rsidR="00F86334" w:rsidRPr="00CE6F7F" w:rsidRDefault="00F86334" w:rsidP="00641776">
            <w:pPr>
              <w:pStyle w:val="HTMLPreformatted"/>
              <w:shd w:val="clear" w:color="auto" w:fill="FFFFFF"/>
              <w:rPr>
                <w:rStyle w:val="gd15mcfceub"/>
                <w:rFonts w:ascii="Arial" w:hAnsi="Arial" w:cs="Arial"/>
                <w:color w:val="000000"/>
                <w:bdr w:val="none" w:sz="0" w:space="0" w:color="auto" w:frame="1"/>
              </w:rPr>
            </w:pPr>
            <w:r>
              <w:rPr>
                <w:rStyle w:val="gd15mcfceub"/>
                <w:rFonts w:ascii="Arial" w:hAnsi="Arial" w:cs="Arial"/>
                <w:color w:val="000000"/>
                <w:bdr w:val="none" w:sz="0" w:space="0" w:color="auto" w:frame="1"/>
              </w:rPr>
              <w:t>5. OTHER</w:t>
            </w:r>
          </w:p>
        </w:tc>
      </w:tr>
      <w:tr w:rsidR="00F86334" w:rsidRPr="003F5B5A" w14:paraId="14C75161" w14:textId="77777777" w:rsidTr="00AD4516">
        <w:trPr>
          <w:trHeight w:val="226"/>
        </w:trPr>
        <w:tc>
          <w:tcPr>
            <w:tcW w:w="2875" w:type="dxa"/>
            <w:shd w:val="clear" w:color="auto" w:fill="auto"/>
          </w:tcPr>
          <w:p w14:paraId="12E059C9" w14:textId="61DA96F8" w:rsidR="00F86334" w:rsidRPr="00CE6F7F" w:rsidRDefault="00F86334" w:rsidP="00641776">
            <w:pPr>
              <w:spacing w:line="240" w:lineRule="auto"/>
              <w:rPr>
                <w:rFonts w:ascii="Arial" w:hAnsi="Arial" w:cs="Arial"/>
                <w:sz w:val="20"/>
                <w:szCs w:val="20"/>
              </w:rPr>
            </w:pPr>
            <w:r>
              <w:rPr>
                <w:rFonts w:ascii="Arial" w:hAnsi="Arial" w:cs="Arial"/>
                <w:sz w:val="20"/>
                <w:szCs w:val="20"/>
              </w:rPr>
              <w:t xml:space="preserve">26) </w:t>
            </w:r>
            <w:proofErr w:type="spellStart"/>
            <w:r>
              <w:rPr>
                <w:rFonts w:ascii="Arial" w:hAnsi="Arial" w:cs="Arial"/>
                <w:sz w:val="20"/>
                <w:szCs w:val="20"/>
              </w:rPr>
              <w:t>bmi</w:t>
            </w:r>
            <w:proofErr w:type="spellEnd"/>
          </w:p>
        </w:tc>
        <w:tc>
          <w:tcPr>
            <w:tcW w:w="3060" w:type="dxa"/>
            <w:shd w:val="clear" w:color="auto" w:fill="auto"/>
          </w:tcPr>
          <w:p w14:paraId="43E124A6" w14:textId="0512C2D8" w:rsidR="00F86334" w:rsidRPr="00CE6F7F" w:rsidRDefault="00F86334" w:rsidP="00641776">
            <w:pPr>
              <w:spacing w:line="240" w:lineRule="auto"/>
              <w:rPr>
                <w:rFonts w:ascii="Arial" w:hAnsi="Arial" w:cs="Arial"/>
                <w:sz w:val="20"/>
                <w:szCs w:val="20"/>
              </w:rPr>
            </w:pPr>
            <w:r>
              <w:rPr>
                <w:rFonts w:ascii="Arial" w:hAnsi="Arial" w:cs="Arial"/>
                <w:sz w:val="20"/>
                <w:szCs w:val="20"/>
              </w:rPr>
              <w:t>Body-mass index of participant</w:t>
            </w:r>
          </w:p>
        </w:tc>
        <w:tc>
          <w:tcPr>
            <w:tcW w:w="1080" w:type="dxa"/>
          </w:tcPr>
          <w:p w14:paraId="2F47C9B9" w14:textId="448441E4" w:rsidR="00F86334" w:rsidRPr="00CE6F7F" w:rsidRDefault="00F86334" w:rsidP="00641776">
            <w:pPr>
              <w:pStyle w:val="HTMLPreformatted"/>
              <w:shd w:val="clear" w:color="auto" w:fill="FFFFFF"/>
              <w:ind w:left="360"/>
              <w:rPr>
                <w:rFonts w:ascii="Arial" w:hAnsi="Arial" w:cs="Arial"/>
              </w:rPr>
            </w:pPr>
            <w:r>
              <w:rPr>
                <w:rFonts w:ascii="Arial" w:hAnsi="Arial" w:cs="Arial"/>
              </w:rPr>
              <w:t>num</w:t>
            </w:r>
          </w:p>
        </w:tc>
        <w:tc>
          <w:tcPr>
            <w:tcW w:w="2610" w:type="dxa"/>
            <w:shd w:val="clear" w:color="auto" w:fill="auto"/>
          </w:tcPr>
          <w:p w14:paraId="0A3D0253" w14:textId="77777777" w:rsidR="00F86334" w:rsidRDefault="00F86334" w:rsidP="00641776">
            <w:pPr>
              <w:pStyle w:val="HTMLPreformatted"/>
              <w:shd w:val="clear" w:color="auto" w:fill="FFFFFF"/>
              <w:rPr>
                <w:rStyle w:val="gd15mcfceub"/>
                <w:rFonts w:ascii="Arial" w:hAnsi="Arial" w:cs="Arial"/>
                <w:color w:val="000000"/>
                <w:bdr w:val="none" w:sz="0" w:space="0" w:color="auto" w:frame="1"/>
              </w:rPr>
            </w:pPr>
            <w:r>
              <w:rPr>
                <w:rStyle w:val="gd15mcfceub"/>
                <w:rFonts w:ascii="Arial" w:hAnsi="Arial" w:cs="Arial"/>
                <w:color w:val="000000"/>
                <w:bdr w:val="none" w:sz="0" w:space="0" w:color="auto" w:frame="1"/>
              </w:rPr>
              <w:t>1. 14.2,</w:t>
            </w:r>
          </w:p>
          <w:p w14:paraId="67EFB028" w14:textId="77777777" w:rsidR="00F86334" w:rsidRDefault="00F86334" w:rsidP="00641776">
            <w:pPr>
              <w:pStyle w:val="HTMLPreformatted"/>
              <w:shd w:val="clear" w:color="auto" w:fill="FFFFFF"/>
              <w:rPr>
                <w:rStyle w:val="gd15mcfceub"/>
                <w:rFonts w:ascii="Arial" w:hAnsi="Arial" w:cs="Arial"/>
                <w:color w:val="000000"/>
                <w:bdr w:val="none" w:sz="0" w:space="0" w:color="auto" w:frame="1"/>
              </w:rPr>
            </w:pPr>
            <w:r>
              <w:rPr>
                <w:rStyle w:val="gd15mcfceub"/>
                <w:rFonts w:ascii="Arial" w:hAnsi="Arial" w:cs="Arial"/>
                <w:color w:val="000000"/>
                <w:bdr w:val="none" w:sz="0" w:space="0" w:color="auto" w:frame="1"/>
              </w:rPr>
              <w:t>2. 21.01,</w:t>
            </w:r>
          </w:p>
          <w:p w14:paraId="70129ABE" w14:textId="1A1F11E7" w:rsidR="00F86334" w:rsidRPr="00CE6F7F" w:rsidRDefault="00F86334" w:rsidP="00641776">
            <w:pPr>
              <w:pStyle w:val="HTMLPreformatted"/>
              <w:shd w:val="clear" w:color="auto" w:fill="FFFFFF"/>
              <w:rPr>
                <w:rStyle w:val="gd15mcfceub"/>
                <w:rFonts w:ascii="Arial" w:hAnsi="Arial" w:cs="Arial"/>
                <w:color w:val="000000"/>
                <w:bdr w:val="none" w:sz="0" w:space="0" w:color="auto" w:frame="1"/>
              </w:rPr>
            </w:pPr>
            <w:r>
              <w:rPr>
                <w:rStyle w:val="gd15mcfceub"/>
                <w:rFonts w:ascii="Arial" w:hAnsi="Arial" w:cs="Arial"/>
                <w:color w:val="000000"/>
                <w:bdr w:val="none" w:sz="0" w:space="0" w:color="auto" w:frame="1"/>
              </w:rPr>
              <w:t>3. 24.76</w:t>
            </w:r>
          </w:p>
        </w:tc>
      </w:tr>
      <w:tr w:rsidR="00F86334" w:rsidRPr="003F5B5A" w14:paraId="239655B8" w14:textId="77777777" w:rsidTr="00AD4516">
        <w:trPr>
          <w:trHeight w:val="226"/>
        </w:trPr>
        <w:tc>
          <w:tcPr>
            <w:tcW w:w="2875" w:type="dxa"/>
            <w:shd w:val="clear" w:color="auto" w:fill="auto"/>
          </w:tcPr>
          <w:p w14:paraId="3D89AE83" w14:textId="36C387EB" w:rsidR="00F86334" w:rsidRPr="00CE6F7F" w:rsidRDefault="00F86334" w:rsidP="00641776">
            <w:pPr>
              <w:spacing w:line="240" w:lineRule="auto"/>
              <w:rPr>
                <w:rFonts w:ascii="Arial" w:hAnsi="Arial" w:cs="Arial"/>
                <w:sz w:val="20"/>
                <w:szCs w:val="20"/>
              </w:rPr>
            </w:pPr>
            <w:r>
              <w:rPr>
                <w:rFonts w:ascii="Arial" w:hAnsi="Arial" w:cs="Arial"/>
                <w:sz w:val="20"/>
                <w:szCs w:val="20"/>
              </w:rPr>
              <w:t xml:space="preserve">27) </w:t>
            </w:r>
            <w:proofErr w:type="spellStart"/>
            <w:r>
              <w:rPr>
                <w:rFonts w:ascii="Arial" w:hAnsi="Arial" w:cs="Arial"/>
                <w:sz w:val="20"/>
                <w:szCs w:val="20"/>
              </w:rPr>
              <w:t>tb_history</w:t>
            </w:r>
            <w:proofErr w:type="spellEnd"/>
          </w:p>
        </w:tc>
        <w:tc>
          <w:tcPr>
            <w:tcW w:w="3060" w:type="dxa"/>
            <w:shd w:val="clear" w:color="auto" w:fill="auto"/>
          </w:tcPr>
          <w:p w14:paraId="65F89AE0" w14:textId="544D9FBF" w:rsidR="00F86334" w:rsidRPr="00CE6F7F" w:rsidRDefault="00F86334" w:rsidP="00641776">
            <w:pPr>
              <w:spacing w:line="240" w:lineRule="auto"/>
              <w:rPr>
                <w:rFonts w:ascii="Arial" w:hAnsi="Arial" w:cs="Arial"/>
                <w:sz w:val="20"/>
                <w:szCs w:val="20"/>
              </w:rPr>
            </w:pPr>
            <w:r>
              <w:rPr>
                <w:rFonts w:ascii="Arial" w:hAnsi="Arial" w:cs="Arial"/>
                <w:sz w:val="20"/>
                <w:szCs w:val="20"/>
              </w:rPr>
              <w:t>History of TB disease in participant</w:t>
            </w:r>
          </w:p>
        </w:tc>
        <w:tc>
          <w:tcPr>
            <w:tcW w:w="1080" w:type="dxa"/>
          </w:tcPr>
          <w:p w14:paraId="0D5A6190" w14:textId="7DC0B7E5" w:rsidR="00F86334" w:rsidRPr="00CE6F7F" w:rsidRDefault="00F86334" w:rsidP="00641776">
            <w:pPr>
              <w:pStyle w:val="HTMLPreformatted"/>
              <w:shd w:val="clear" w:color="auto" w:fill="FFFFFF"/>
              <w:ind w:left="360"/>
              <w:rPr>
                <w:rFonts w:ascii="Arial" w:hAnsi="Arial" w:cs="Arial"/>
              </w:rPr>
            </w:pPr>
            <w:r>
              <w:rPr>
                <w:rFonts w:ascii="Arial" w:hAnsi="Arial" w:cs="Arial"/>
              </w:rPr>
              <w:t>char</w:t>
            </w:r>
          </w:p>
        </w:tc>
        <w:tc>
          <w:tcPr>
            <w:tcW w:w="2610" w:type="dxa"/>
            <w:shd w:val="clear" w:color="auto" w:fill="auto"/>
          </w:tcPr>
          <w:p w14:paraId="5F0094E2" w14:textId="62F12AA3" w:rsidR="00F86334" w:rsidRDefault="00F86334" w:rsidP="00641776">
            <w:pPr>
              <w:pStyle w:val="HTMLPreformatted"/>
              <w:shd w:val="clear" w:color="auto" w:fill="FFFFFF"/>
              <w:rPr>
                <w:rStyle w:val="gd15mcfceub"/>
                <w:rFonts w:ascii="Arial" w:hAnsi="Arial" w:cs="Arial"/>
                <w:color w:val="000000"/>
                <w:bdr w:val="none" w:sz="0" w:space="0" w:color="auto" w:frame="1"/>
              </w:rPr>
            </w:pPr>
            <w:r>
              <w:rPr>
                <w:rStyle w:val="gd15mcfceub"/>
                <w:rFonts w:ascii="Arial" w:hAnsi="Arial" w:cs="Arial"/>
                <w:color w:val="000000"/>
                <w:bdr w:val="none" w:sz="0" w:space="0" w:color="auto" w:frame="1"/>
              </w:rPr>
              <w:t>1. YES</w:t>
            </w:r>
          </w:p>
          <w:p w14:paraId="5F5D9126" w14:textId="2904D9DC" w:rsidR="00F86334" w:rsidRPr="00CE6F7F" w:rsidRDefault="00F86334" w:rsidP="00641776">
            <w:pPr>
              <w:pStyle w:val="HTMLPreformatted"/>
              <w:shd w:val="clear" w:color="auto" w:fill="FFFFFF"/>
              <w:rPr>
                <w:rStyle w:val="gd15mcfceub"/>
                <w:rFonts w:ascii="Arial" w:hAnsi="Arial" w:cs="Arial"/>
                <w:color w:val="000000"/>
                <w:bdr w:val="none" w:sz="0" w:space="0" w:color="auto" w:frame="1"/>
              </w:rPr>
            </w:pPr>
            <w:r>
              <w:rPr>
                <w:rStyle w:val="gd15mcfceub"/>
                <w:rFonts w:ascii="Arial" w:hAnsi="Arial" w:cs="Arial"/>
                <w:color w:val="000000"/>
                <w:bdr w:val="none" w:sz="0" w:space="0" w:color="auto" w:frame="1"/>
              </w:rPr>
              <w:t>2. NO</w:t>
            </w:r>
          </w:p>
        </w:tc>
      </w:tr>
      <w:tr w:rsidR="00F86334" w:rsidRPr="003F5B5A" w14:paraId="4112DDB4" w14:textId="77777777" w:rsidTr="00AD4516">
        <w:trPr>
          <w:trHeight w:val="226"/>
        </w:trPr>
        <w:tc>
          <w:tcPr>
            <w:tcW w:w="2875" w:type="dxa"/>
            <w:shd w:val="clear" w:color="auto" w:fill="auto"/>
          </w:tcPr>
          <w:p w14:paraId="412AF975" w14:textId="1A74FE69" w:rsidR="00F86334" w:rsidRPr="00CE6F7F" w:rsidRDefault="00F86334" w:rsidP="00641776">
            <w:pPr>
              <w:spacing w:line="240" w:lineRule="auto"/>
              <w:rPr>
                <w:rFonts w:ascii="Arial" w:hAnsi="Arial" w:cs="Arial"/>
                <w:sz w:val="20"/>
                <w:szCs w:val="20"/>
              </w:rPr>
            </w:pPr>
            <w:r>
              <w:rPr>
                <w:rFonts w:ascii="Arial" w:hAnsi="Arial" w:cs="Arial"/>
                <w:sz w:val="20"/>
                <w:szCs w:val="20"/>
              </w:rPr>
              <w:t xml:space="preserve">28) </w:t>
            </w:r>
            <w:proofErr w:type="spellStart"/>
            <w:r>
              <w:rPr>
                <w:rFonts w:ascii="Arial" w:hAnsi="Arial" w:cs="Arial"/>
                <w:sz w:val="20"/>
                <w:szCs w:val="20"/>
              </w:rPr>
              <w:t>tb_family_history</w:t>
            </w:r>
            <w:proofErr w:type="spellEnd"/>
          </w:p>
        </w:tc>
        <w:tc>
          <w:tcPr>
            <w:tcW w:w="3060" w:type="dxa"/>
            <w:shd w:val="clear" w:color="auto" w:fill="auto"/>
          </w:tcPr>
          <w:p w14:paraId="28B0DC4A" w14:textId="6EF24ADE" w:rsidR="00F86334" w:rsidRPr="00CE6F7F" w:rsidRDefault="00F86334" w:rsidP="00641776">
            <w:pPr>
              <w:spacing w:line="240" w:lineRule="auto"/>
              <w:rPr>
                <w:rFonts w:ascii="Arial" w:hAnsi="Arial" w:cs="Arial"/>
                <w:sz w:val="20"/>
                <w:szCs w:val="20"/>
              </w:rPr>
            </w:pPr>
            <w:r>
              <w:rPr>
                <w:rFonts w:ascii="Arial" w:hAnsi="Arial" w:cs="Arial"/>
                <w:sz w:val="20"/>
                <w:szCs w:val="20"/>
              </w:rPr>
              <w:t>Family history of TB disease</w:t>
            </w:r>
          </w:p>
        </w:tc>
        <w:tc>
          <w:tcPr>
            <w:tcW w:w="1080" w:type="dxa"/>
          </w:tcPr>
          <w:p w14:paraId="23FFD41B" w14:textId="190E6C9B" w:rsidR="00F86334" w:rsidRPr="00CE6F7F" w:rsidRDefault="00F86334" w:rsidP="00641776">
            <w:pPr>
              <w:pStyle w:val="HTMLPreformatted"/>
              <w:shd w:val="clear" w:color="auto" w:fill="FFFFFF"/>
              <w:ind w:left="360"/>
              <w:rPr>
                <w:rFonts w:ascii="Arial" w:hAnsi="Arial" w:cs="Arial"/>
              </w:rPr>
            </w:pPr>
            <w:r>
              <w:rPr>
                <w:rFonts w:ascii="Arial" w:hAnsi="Arial" w:cs="Arial"/>
              </w:rPr>
              <w:t>char</w:t>
            </w:r>
          </w:p>
        </w:tc>
        <w:tc>
          <w:tcPr>
            <w:tcW w:w="2610" w:type="dxa"/>
            <w:shd w:val="clear" w:color="auto" w:fill="auto"/>
          </w:tcPr>
          <w:p w14:paraId="4DB936A1" w14:textId="77777777" w:rsidR="00F86334" w:rsidRDefault="00F86334" w:rsidP="00F86334">
            <w:pPr>
              <w:pStyle w:val="HTMLPreformatted"/>
              <w:shd w:val="clear" w:color="auto" w:fill="FFFFFF"/>
              <w:rPr>
                <w:rStyle w:val="gd15mcfceub"/>
                <w:rFonts w:ascii="Arial" w:hAnsi="Arial" w:cs="Arial"/>
                <w:color w:val="000000"/>
                <w:bdr w:val="none" w:sz="0" w:space="0" w:color="auto" w:frame="1"/>
              </w:rPr>
            </w:pPr>
            <w:r>
              <w:rPr>
                <w:rStyle w:val="gd15mcfceub"/>
                <w:rFonts w:ascii="Arial" w:hAnsi="Arial" w:cs="Arial"/>
                <w:color w:val="000000"/>
                <w:bdr w:val="none" w:sz="0" w:space="0" w:color="auto" w:frame="1"/>
              </w:rPr>
              <w:t>1. YES</w:t>
            </w:r>
          </w:p>
          <w:p w14:paraId="2878E5C1" w14:textId="55718D16" w:rsidR="00F86334" w:rsidRPr="00CE6F7F" w:rsidRDefault="00F86334" w:rsidP="00F86334">
            <w:pPr>
              <w:pStyle w:val="HTMLPreformatted"/>
              <w:shd w:val="clear" w:color="auto" w:fill="FFFFFF"/>
              <w:rPr>
                <w:rStyle w:val="gd15mcfceub"/>
                <w:rFonts w:ascii="Arial" w:hAnsi="Arial" w:cs="Arial"/>
                <w:color w:val="000000"/>
                <w:bdr w:val="none" w:sz="0" w:space="0" w:color="auto" w:frame="1"/>
              </w:rPr>
            </w:pPr>
            <w:r>
              <w:rPr>
                <w:rStyle w:val="gd15mcfceub"/>
                <w:rFonts w:ascii="Arial" w:hAnsi="Arial" w:cs="Arial"/>
                <w:color w:val="000000"/>
                <w:bdr w:val="none" w:sz="0" w:space="0" w:color="auto" w:frame="1"/>
              </w:rPr>
              <w:t>2. NO</w:t>
            </w:r>
          </w:p>
        </w:tc>
      </w:tr>
      <w:tr w:rsidR="00F86334" w:rsidRPr="003F5B5A" w14:paraId="087FB16E" w14:textId="77777777" w:rsidTr="00AD4516">
        <w:trPr>
          <w:trHeight w:val="226"/>
        </w:trPr>
        <w:tc>
          <w:tcPr>
            <w:tcW w:w="2875" w:type="dxa"/>
            <w:shd w:val="clear" w:color="auto" w:fill="auto"/>
          </w:tcPr>
          <w:p w14:paraId="0BD00BE6" w14:textId="6D101A62" w:rsidR="00F86334" w:rsidRPr="00CE6F7F" w:rsidRDefault="00F86334" w:rsidP="00641776">
            <w:pPr>
              <w:spacing w:line="240" w:lineRule="auto"/>
              <w:rPr>
                <w:rFonts w:ascii="Arial" w:hAnsi="Arial" w:cs="Arial"/>
                <w:sz w:val="20"/>
                <w:szCs w:val="20"/>
              </w:rPr>
            </w:pPr>
            <w:r>
              <w:rPr>
                <w:rFonts w:ascii="Arial" w:hAnsi="Arial" w:cs="Arial"/>
                <w:sz w:val="20"/>
                <w:szCs w:val="20"/>
              </w:rPr>
              <w:t xml:space="preserve">29) </w:t>
            </w:r>
            <w:proofErr w:type="spellStart"/>
            <w:r>
              <w:rPr>
                <w:rFonts w:ascii="Arial" w:hAnsi="Arial" w:cs="Arial"/>
                <w:sz w:val="20"/>
                <w:szCs w:val="20"/>
              </w:rPr>
              <w:t>smoking_history</w:t>
            </w:r>
            <w:proofErr w:type="spellEnd"/>
          </w:p>
        </w:tc>
        <w:tc>
          <w:tcPr>
            <w:tcW w:w="3060" w:type="dxa"/>
            <w:shd w:val="clear" w:color="auto" w:fill="auto"/>
          </w:tcPr>
          <w:p w14:paraId="4765314C" w14:textId="4FAFBADA" w:rsidR="00F86334" w:rsidRPr="00CE6F7F" w:rsidRDefault="00F86334" w:rsidP="00641776">
            <w:pPr>
              <w:spacing w:line="240" w:lineRule="auto"/>
              <w:rPr>
                <w:rFonts w:ascii="Arial" w:hAnsi="Arial" w:cs="Arial"/>
                <w:sz w:val="20"/>
                <w:szCs w:val="20"/>
              </w:rPr>
            </w:pPr>
            <w:r>
              <w:rPr>
                <w:rFonts w:ascii="Arial" w:hAnsi="Arial" w:cs="Arial"/>
                <w:sz w:val="20"/>
                <w:szCs w:val="20"/>
              </w:rPr>
              <w:t>History of smoking by participant</w:t>
            </w:r>
          </w:p>
        </w:tc>
        <w:tc>
          <w:tcPr>
            <w:tcW w:w="1080" w:type="dxa"/>
          </w:tcPr>
          <w:p w14:paraId="10211A09" w14:textId="1BD9C896" w:rsidR="00F86334" w:rsidRPr="00CE6F7F" w:rsidRDefault="00F86334" w:rsidP="00641776">
            <w:pPr>
              <w:pStyle w:val="HTMLPreformatted"/>
              <w:shd w:val="clear" w:color="auto" w:fill="FFFFFF"/>
              <w:ind w:left="360"/>
              <w:rPr>
                <w:rFonts w:ascii="Arial" w:hAnsi="Arial" w:cs="Arial"/>
              </w:rPr>
            </w:pPr>
            <w:r>
              <w:rPr>
                <w:rFonts w:ascii="Arial" w:hAnsi="Arial" w:cs="Arial"/>
              </w:rPr>
              <w:t>char</w:t>
            </w:r>
          </w:p>
        </w:tc>
        <w:tc>
          <w:tcPr>
            <w:tcW w:w="2610" w:type="dxa"/>
            <w:shd w:val="clear" w:color="auto" w:fill="auto"/>
          </w:tcPr>
          <w:p w14:paraId="0CF0D838" w14:textId="77777777" w:rsidR="00F86334" w:rsidRDefault="00F86334" w:rsidP="00F86334">
            <w:pPr>
              <w:pStyle w:val="HTMLPreformatted"/>
              <w:shd w:val="clear" w:color="auto" w:fill="FFFFFF"/>
              <w:rPr>
                <w:rStyle w:val="gd15mcfceub"/>
                <w:rFonts w:ascii="Arial" w:hAnsi="Arial" w:cs="Arial"/>
                <w:color w:val="000000"/>
                <w:bdr w:val="none" w:sz="0" w:space="0" w:color="auto" w:frame="1"/>
              </w:rPr>
            </w:pPr>
            <w:r>
              <w:rPr>
                <w:rStyle w:val="gd15mcfceub"/>
                <w:rFonts w:ascii="Arial" w:hAnsi="Arial" w:cs="Arial"/>
                <w:color w:val="000000"/>
                <w:bdr w:val="none" w:sz="0" w:space="0" w:color="auto" w:frame="1"/>
              </w:rPr>
              <w:t>1. YES</w:t>
            </w:r>
          </w:p>
          <w:p w14:paraId="60F0948C" w14:textId="0EA398E4" w:rsidR="00F86334" w:rsidRPr="00CE6F7F" w:rsidRDefault="00F86334" w:rsidP="00F86334">
            <w:pPr>
              <w:pStyle w:val="HTMLPreformatted"/>
              <w:shd w:val="clear" w:color="auto" w:fill="FFFFFF"/>
              <w:rPr>
                <w:rStyle w:val="gd15mcfceub"/>
                <w:rFonts w:ascii="Arial" w:hAnsi="Arial" w:cs="Arial"/>
                <w:color w:val="000000"/>
                <w:bdr w:val="none" w:sz="0" w:space="0" w:color="auto" w:frame="1"/>
              </w:rPr>
            </w:pPr>
            <w:r>
              <w:rPr>
                <w:rStyle w:val="gd15mcfceub"/>
                <w:rFonts w:ascii="Arial" w:hAnsi="Arial" w:cs="Arial"/>
                <w:color w:val="000000"/>
                <w:bdr w:val="none" w:sz="0" w:space="0" w:color="auto" w:frame="1"/>
              </w:rPr>
              <w:t>2. NO</w:t>
            </w:r>
          </w:p>
        </w:tc>
      </w:tr>
      <w:tr w:rsidR="00F86334" w:rsidRPr="003F5B5A" w14:paraId="001C05D9" w14:textId="77777777" w:rsidTr="00AD4516">
        <w:trPr>
          <w:trHeight w:val="226"/>
        </w:trPr>
        <w:tc>
          <w:tcPr>
            <w:tcW w:w="2875" w:type="dxa"/>
            <w:shd w:val="clear" w:color="auto" w:fill="auto"/>
          </w:tcPr>
          <w:p w14:paraId="25C67206" w14:textId="00EC7CAB" w:rsidR="00F86334" w:rsidRPr="00CE6F7F" w:rsidRDefault="00F86334" w:rsidP="00641776">
            <w:pPr>
              <w:spacing w:line="240" w:lineRule="auto"/>
              <w:rPr>
                <w:rFonts w:ascii="Arial" w:hAnsi="Arial" w:cs="Arial"/>
                <w:sz w:val="20"/>
                <w:szCs w:val="20"/>
              </w:rPr>
            </w:pPr>
            <w:r>
              <w:rPr>
                <w:rFonts w:ascii="Arial" w:hAnsi="Arial" w:cs="Arial"/>
                <w:sz w:val="20"/>
                <w:szCs w:val="20"/>
              </w:rPr>
              <w:t xml:space="preserve">30) </w:t>
            </w:r>
            <w:proofErr w:type="spellStart"/>
            <w:r w:rsidRPr="00F86334">
              <w:rPr>
                <w:rFonts w:ascii="Arial" w:hAnsi="Arial" w:cs="Arial"/>
                <w:sz w:val="20"/>
                <w:szCs w:val="20"/>
              </w:rPr>
              <w:t>tbsymptoms_at_baseline</w:t>
            </w:r>
            <w:proofErr w:type="spellEnd"/>
          </w:p>
        </w:tc>
        <w:tc>
          <w:tcPr>
            <w:tcW w:w="3060" w:type="dxa"/>
            <w:shd w:val="clear" w:color="auto" w:fill="auto"/>
          </w:tcPr>
          <w:p w14:paraId="49111856" w14:textId="629A641C" w:rsidR="00F86334" w:rsidRPr="00CE6F7F" w:rsidRDefault="00F86334" w:rsidP="00641776">
            <w:pPr>
              <w:spacing w:line="240" w:lineRule="auto"/>
              <w:rPr>
                <w:rFonts w:ascii="Arial" w:hAnsi="Arial" w:cs="Arial"/>
                <w:sz w:val="20"/>
                <w:szCs w:val="20"/>
              </w:rPr>
            </w:pPr>
            <w:r>
              <w:rPr>
                <w:rFonts w:ascii="Arial" w:hAnsi="Arial" w:cs="Arial"/>
                <w:sz w:val="20"/>
                <w:szCs w:val="20"/>
              </w:rPr>
              <w:t>Any TB symptoms at baseline (at enrollment visit)</w:t>
            </w:r>
          </w:p>
        </w:tc>
        <w:tc>
          <w:tcPr>
            <w:tcW w:w="1080" w:type="dxa"/>
          </w:tcPr>
          <w:p w14:paraId="2FDF7203" w14:textId="367F190B" w:rsidR="00F86334" w:rsidRPr="00CE6F7F" w:rsidRDefault="00F86334" w:rsidP="00641776">
            <w:pPr>
              <w:pStyle w:val="HTMLPreformatted"/>
              <w:shd w:val="clear" w:color="auto" w:fill="FFFFFF"/>
              <w:ind w:left="360"/>
              <w:rPr>
                <w:rFonts w:ascii="Arial" w:hAnsi="Arial" w:cs="Arial"/>
              </w:rPr>
            </w:pPr>
            <w:r>
              <w:rPr>
                <w:rFonts w:ascii="Arial" w:hAnsi="Arial" w:cs="Arial"/>
              </w:rPr>
              <w:t>char</w:t>
            </w:r>
          </w:p>
        </w:tc>
        <w:tc>
          <w:tcPr>
            <w:tcW w:w="2610" w:type="dxa"/>
            <w:shd w:val="clear" w:color="auto" w:fill="auto"/>
          </w:tcPr>
          <w:p w14:paraId="44C9CBD7" w14:textId="77777777" w:rsidR="00F86334" w:rsidRDefault="00D05A34" w:rsidP="00641776">
            <w:pPr>
              <w:pStyle w:val="HTMLPreformatted"/>
              <w:shd w:val="clear" w:color="auto" w:fill="FFFFFF"/>
              <w:rPr>
                <w:rStyle w:val="gd15mcfceub"/>
                <w:rFonts w:ascii="Arial" w:hAnsi="Arial" w:cs="Arial"/>
                <w:color w:val="000000"/>
                <w:bdr w:val="none" w:sz="0" w:space="0" w:color="auto" w:frame="1"/>
              </w:rPr>
            </w:pPr>
            <w:r>
              <w:rPr>
                <w:rStyle w:val="gd15mcfceub"/>
                <w:rFonts w:ascii="Arial" w:hAnsi="Arial" w:cs="Arial"/>
                <w:color w:val="000000"/>
                <w:bdr w:val="none" w:sz="0" w:space="0" w:color="auto" w:frame="1"/>
              </w:rPr>
              <w:t>1. POSITIVE</w:t>
            </w:r>
          </w:p>
          <w:p w14:paraId="2A259D9B" w14:textId="307D8C2C" w:rsidR="00D05A34" w:rsidRPr="00CE6F7F" w:rsidRDefault="00D05A34" w:rsidP="00641776">
            <w:pPr>
              <w:pStyle w:val="HTMLPreformatted"/>
              <w:shd w:val="clear" w:color="auto" w:fill="FFFFFF"/>
              <w:rPr>
                <w:rStyle w:val="gd15mcfceub"/>
                <w:rFonts w:ascii="Arial" w:hAnsi="Arial" w:cs="Arial"/>
                <w:color w:val="000000"/>
                <w:bdr w:val="none" w:sz="0" w:space="0" w:color="auto" w:frame="1"/>
              </w:rPr>
            </w:pPr>
            <w:r>
              <w:rPr>
                <w:rStyle w:val="gd15mcfceub"/>
                <w:rFonts w:ascii="Arial" w:hAnsi="Arial" w:cs="Arial"/>
                <w:color w:val="000000"/>
                <w:bdr w:val="none" w:sz="0" w:space="0" w:color="auto" w:frame="1"/>
              </w:rPr>
              <w:t>2. NEGATIVE</w:t>
            </w:r>
            <w:bookmarkStart w:id="4" w:name="_GoBack"/>
            <w:bookmarkEnd w:id="4"/>
          </w:p>
        </w:tc>
      </w:tr>
      <w:bookmarkEnd w:id="3"/>
    </w:tbl>
    <w:p w14:paraId="7C4726CB" w14:textId="77777777" w:rsidR="00BB5F5F" w:rsidRPr="003F5B5A" w:rsidRDefault="00BB5F5F" w:rsidP="00641776">
      <w:pPr>
        <w:spacing w:line="240" w:lineRule="auto"/>
        <w:rPr>
          <w:rFonts w:ascii="Arial" w:hAnsi="Arial" w:cs="Arial"/>
          <w:sz w:val="24"/>
          <w:szCs w:val="24"/>
        </w:rPr>
      </w:pPr>
    </w:p>
    <w:p w14:paraId="4FDF3BCF" w14:textId="77777777" w:rsidR="00BB5F5F" w:rsidRPr="003F5B5A" w:rsidRDefault="00BB5F5F" w:rsidP="00641776">
      <w:pPr>
        <w:autoSpaceDE w:val="0"/>
        <w:autoSpaceDN w:val="0"/>
        <w:adjustRightInd w:val="0"/>
        <w:spacing w:after="0" w:line="240" w:lineRule="auto"/>
        <w:rPr>
          <w:rFonts w:ascii="Arial" w:hAnsi="Arial" w:cs="Arial"/>
          <w:sz w:val="24"/>
          <w:szCs w:val="24"/>
          <w:lang w:val="en-ZA"/>
        </w:rPr>
      </w:pPr>
    </w:p>
    <w:sectPr w:rsidR="00BB5F5F" w:rsidRPr="003F5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E7E"/>
    <w:multiLevelType w:val="hybridMultilevel"/>
    <w:tmpl w:val="22A8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83D31"/>
    <w:multiLevelType w:val="hybridMultilevel"/>
    <w:tmpl w:val="1526A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94E95"/>
    <w:multiLevelType w:val="hybridMultilevel"/>
    <w:tmpl w:val="00422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A3D10"/>
    <w:multiLevelType w:val="hybridMultilevel"/>
    <w:tmpl w:val="849E0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41371"/>
    <w:multiLevelType w:val="hybridMultilevel"/>
    <w:tmpl w:val="1284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2483D"/>
    <w:multiLevelType w:val="hybridMultilevel"/>
    <w:tmpl w:val="F1F00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00846"/>
    <w:multiLevelType w:val="hybridMultilevel"/>
    <w:tmpl w:val="6F54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742F6"/>
    <w:multiLevelType w:val="hybridMultilevel"/>
    <w:tmpl w:val="B9B4D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40B99"/>
    <w:multiLevelType w:val="hybridMultilevel"/>
    <w:tmpl w:val="6A5CCE3A"/>
    <w:lvl w:ilvl="0" w:tplc="3DD685A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F59CC"/>
    <w:multiLevelType w:val="hybridMultilevel"/>
    <w:tmpl w:val="ED1A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E172D"/>
    <w:multiLevelType w:val="hybridMultilevel"/>
    <w:tmpl w:val="177C7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95E34"/>
    <w:multiLevelType w:val="hybridMultilevel"/>
    <w:tmpl w:val="9446B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D1767"/>
    <w:multiLevelType w:val="hybridMultilevel"/>
    <w:tmpl w:val="7B026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A59BA"/>
    <w:multiLevelType w:val="hybridMultilevel"/>
    <w:tmpl w:val="83CE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D26202"/>
    <w:multiLevelType w:val="hybridMultilevel"/>
    <w:tmpl w:val="231C3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DA07BF"/>
    <w:multiLevelType w:val="hybridMultilevel"/>
    <w:tmpl w:val="30325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E3FDF"/>
    <w:multiLevelType w:val="hybridMultilevel"/>
    <w:tmpl w:val="9E3A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A0198"/>
    <w:multiLevelType w:val="hybridMultilevel"/>
    <w:tmpl w:val="6114C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93952"/>
    <w:multiLevelType w:val="hybridMultilevel"/>
    <w:tmpl w:val="64F8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32F1D"/>
    <w:multiLevelType w:val="hybridMultilevel"/>
    <w:tmpl w:val="7CEE2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3"/>
  </w:num>
  <w:num w:numId="5">
    <w:abstractNumId w:val="10"/>
  </w:num>
  <w:num w:numId="6">
    <w:abstractNumId w:val="13"/>
  </w:num>
  <w:num w:numId="7">
    <w:abstractNumId w:val="1"/>
  </w:num>
  <w:num w:numId="8">
    <w:abstractNumId w:val="5"/>
  </w:num>
  <w:num w:numId="9">
    <w:abstractNumId w:val="14"/>
  </w:num>
  <w:num w:numId="10">
    <w:abstractNumId w:val="16"/>
  </w:num>
  <w:num w:numId="11">
    <w:abstractNumId w:val="6"/>
  </w:num>
  <w:num w:numId="12">
    <w:abstractNumId w:val="19"/>
  </w:num>
  <w:num w:numId="13">
    <w:abstractNumId w:val="9"/>
  </w:num>
  <w:num w:numId="14">
    <w:abstractNumId w:val="2"/>
  </w:num>
  <w:num w:numId="15">
    <w:abstractNumId w:val="11"/>
  </w:num>
  <w:num w:numId="16">
    <w:abstractNumId w:val="12"/>
  </w:num>
  <w:num w:numId="17">
    <w:abstractNumId w:val="7"/>
  </w:num>
  <w:num w:numId="18">
    <w:abstractNumId w:val="17"/>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84"/>
    <w:rsid w:val="003419A1"/>
    <w:rsid w:val="00393784"/>
    <w:rsid w:val="003C0730"/>
    <w:rsid w:val="003D5184"/>
    <w:rsid w:val="003F5B5A"/>
    <w:rsid w:val="00641776"/>
    <w:rsid w:val="00745A4B"/>
    <w:rsid w:val="00790DBC"/>
    <w:rsid w:val="007A2B79"/>
    <w:rsid w:val="00817ECA"/>
    <w:rsid w:val="00A31F85"/>
    <w:rsid w:val="00AD4516"/>
    <w:rsid w:val="00BB5F5F"/>
    <w:rsid w:val="00CE6F7F"/>
    <w:rsid w:val="00D05A34"/>
    <w:rsid w:val="00F60682"/>
    <w:rsid w:val="00F8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B988"/>
  <w15:chartTrackingRefBased/>
  <w15:docId w15:val="{71EBD53C-63DB-4234-BCE6-EFE476D6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F5F"/>
    <w:pPr>
      <w:keepNext/>
      <w:keepLines/>
      <w:numPr>
        <w:numId w:val="20"/>
      </w:numPr>
      <w:spacing w:before="240" w:after="0"/>
      <w:ind w:left="36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19A1"/>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BB5F5F"/>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BB5F5F"/>
    <w:pPr>
      <w:suppressAutoHyphens/>
      <w:spacing w:after="0" w:line="240" w:lineRule="auto"/>
    </w:pPr>
    <w:rPr>
      <w:rFonts w:ascii="Calibri" w:eastAsia="Calibri" w:hAnsi="Calibri" w:cs="Calibri"/>
      <w:lang w:eastAsia="ar-SA"/>
    </w:rPr>
  </w:style>
  <w:style w:type="paragraph" w:styleId="HTMLPreformatted">
    <w:name w:val="HTML Preformatted"/>
    <w:basedOn w:val="Normal"/>
    <w:link w:val="HTMLPreformattedChar"/>
    <w:uiPriority w:val="99"/>
    <w:unhideWhenUsed/>
    <w:rsid w:val="00BB5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B5F5F"/>
    <w:rPr>
      <w:rFonts w:ascii="Courier New" w:eastAsia="Times New Roman" w:hAnsi="Courier New" w:cs="Courier New"/>
      <w:sz w:val="20"/>
      <w:szCs w:val="20"/>
    </w:rPr>
  </w:style>
  <w:style w:type="character" w:customStyle="1" w:styleId="gd15mcfceub">
    <w:name w:val="gd15mcfceub"/>
    <w:basedOn w:val="DefaultParagraphFont"/>
    <w:rsid w:val="00BB5F5F"/>
  </w:style>
  <w:style w:type="character" w:customStyle="1" w:styleId="Heading1Char">
    <w:name w:val="Heading 1 Char"/>
    <w:basedOn w:val="DefaultParagraphFont"/>
    <w:link w:val="Heading1"/>
    <w:uiPriority w:val="9"/>
    <w:rsid w:val="00BB5F5F"/>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BB5F5F"/>
    <w:pPr>
      <w:numPr>
        <w:numId w:val="0"/>
      </w:numPr>
      <w:outlineLvl w:val="9"/>
    </w:pPr>
    <w:rPr>
      <w:rFonts w:asciiTheme="majorHAnsi" w:hAnsiTheme="majorHAnsi"/>
      <w:b w:val="0"/>
      <w:bCs w:val="0"/>
      <w:color w:val="2F5496" w:themeColor="accent1" w:themeShade="BF"/>
      <w:sz w:val="32"/>
      <w:szCs w:val="32"/>
    </w:rPr>
  </w:style>
  <w:style w:type="paragraph" w:styleId="TOC1">
    <w:name w:val="toc 1"/>
    <w:basedOn w:val="Normal"/>
    <w:next w:val="Normal"/>
    <w:autoRedefine/>
    <w:uiPriority w:val="39"/>
    <w:unhideWhenUsed/>
    <w:rsid w:val="00BB5F5F"/>
    <w:pPr>
      <w:spacing w:after="100"/>
    </w:pPr>
  </w:style>
  <w:style w:type="character" w:styleId="Hyperlink">
    <w:name w:val="Hyperlink"/>
    <w:basedOn w:val="DefaultParagraphFont"/>
    <w:uiPriority w:val="99"/>
    <w:unhideWhenUsed/>
    <w:rsid w:val="00BB5F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07D29-160A-4F58-862C-20D20AA6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1609</Words>
  <Characters>9176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Borate, Bhavesh R</dc:creator>
  <cp:keywords/>
  <dc:description/>
  <cp:lastModifiedBy>Borate, Bhavesh R</cp:lastModifiedBy>
  <cp:revision>2</cp:revision>
  <dcterms:created xsi:type="dcterms:W3CDTF">2021-01-14T22:44:00Z</dcterms:created>
  <dcterms:modified xsi:type="dcterms:W3CDTF">2021-01-14T22:44:00Z</dcterms:modified>
</cp:coreProperties>
</file>