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EB755" w14:textId="637B4A2B" w:rsidR="00596A22" w:rsidRDefault="00596A22" w:rsidP="00596A22">
      <w:pPr>
        <w:pStyle w:val="Title"/>
      </w:pPr>
      <w:r>
        <w:t>Soil amelioration paper appendices</w:t>
      </w:r>
    </w:p>
    <w:p w14:paraId="55CDCD40" w14:textId="2AC24430" w:rsidR="00596A22" w:rsidRDefault="00596A22" w:rsidP="00596A22">
      <w:pPr>
        <w:pStyle w:val="Heading1"/>
      </w:pPr>
      <w:r>
        <w:t>Appendix: categorisation of agricultural commodities</w:t>
      </w:r>
    </w:p>
    <w:p w14:paraId="251477AF" w14:textId="77777777" w:rsidR="006A107A" w:rsidRDefault="00596A22" w:rsidP="00596A22">
      <w:r>
        <w:t xml:space="preserve">Livestock grazing and field crops tend to take up large areas of land, </w:t>
      </w:r>
      <w:r w:rsidRPr="00140A3F">
        <w:t>w</w:t>
      </w:r>
      <w:r>
        <w:t xml:space="preserve">ith more than 80% of municipal surface area being taken up by grazing in some instances. When looking at the absolute surface area that is taken up by an agricultural activity the anomaly arises that larger municipalities appear more productive simply because they occupy larger land areas. This means that smaller municipalities do not show up in the analysis, despite having a larger percentage of their land surface area used in agriculture. To correct for this phenomenon, both livestock grazing and field crops are reported in hectares of agricultural activity per hectares of municipal land. </w:t>
      </w:r>
    </w:p>
    <w:p w14:paraId="5347F015" w14:textId="5AF38E5C" w:rsidR="00596A22" w:rsidRDefault="00596A22" w:rsidP="00596A22">
      <w:r>
        <w:t xml:space="preserve">Horticultural areas, on the other hand, tend to be much smaller and more concentrated than either grazing or field crops, so larger municipalities do not necessarily have an advantage over smaller ones </w:t>
      </w:r>
      <w:r w:rsidRPr="00140A3F">
        <w:t>and normalis</w:t>
      </w:r>
      <w:r w:rsidR="00E867AE">
        <w:t>ing the</w:t>
      </w:r>
      <w:r w:rsidRPr="00140A3F">
        <w:t xml:space="preserve"> data </w:t>
      </w:r>
      <w:r w:rsidR="00E867AE">
        <w:t xml:space="preserve">makes the numbers to work with </w:t>
      </w:r>
      <w:r w:rsidRPr="00140A3F">
        <w:t>very small</w:t>
      </w:r>
      <w:r>
        <w:t>. For example: the horticultural regions towards the west of the country are concentrated around the Orange river and cover a very small percentage of the total land area used (0.4 % in Kai! Garib municipality, 0.1% in Dawid Kruiper municipality) (</w:t>
      </w:r>
      <w:r w:rsidRPr="00F15ED7">
        <w:t xml:space="preserve">data </w:t>
      </w:r>
      <w:r w:rsidR="002A0BC6">
        <w:t xml:space="preserve">in the companion spreadsheet called </w:t>
      </w:r>
      <w:r w:rsidR="002A0BC6" w:rsidRPr="00F15ED7">
        <w:rPr>
          <w:i/>
          <w:iCs/>
        </w:rPr>
        <w:t>Agricultural Statistics for South Africa</w:t>
      </w:r>
      <w:r w:rsidR="002A0BC6">
        <w:t xml:space="preserve"> in the </w:t>
      </w:r>
      <w:r w:rsidR="00F15ED7">
        <w:t xml:space="preserve">tab called </w:t>
      </w:r>
      <w:r w:rsidR="00F15ED7" w:rsidRPr="00F15ED7">
        <w:rPr>
          <w:i/>
          <w:iCs/>
        </w:rPr>
        <w:t>2017 Detailed commodity stats</w:t>
      </w:r>
      <w:r>
        <w:t xml:space="preserve">). Horticultural area is therefore reported in hectares, not hectares relative to municipal surface area. </w:t>
      </w:r>
    </w:p>
    <w:p w14:paraId="366CBE8D" w14:textId="6065DB5E" w:rsidR="006A107A" w:rsidRDefault="006062CE" w:rsidP="00596A22">
      <w:r>
        <w:t>Each agricultural commodity</w:t>
      </w:r>
      <w:r w:rsidR="00871780">
        <w:t xml:space="preserve"> class</w:t>
      </w:r>
      <w:r>
        <w:t xml:space="preserve"> has its own </w:t>
      </w:r>
      <w:r w:rsidR="00871780">
        <w:t xml:space="preserve">categorisation ranges. This is because the area used for grazing is much larger than that of </w:t>
      </w:r>
      <w:r w:rsidR="00B52AC8">
        <w:t xml:space="preserve">field crops, which in turn is much larger than the land areas used for horticulture. </w:t>
      </w:r>
      <w:r w:rsidR="0032517B">
        <w:t xml:space="preserve">The ranges were chosen such that they are </w:t>
      </w:r>
      <w:r w:rsidR="0028404B">
        <w:t xml:space="preserve">regular and split the </w:t>
      </w:r>
      <w:r w:rsidR="00DD6D1C">
        <w:t xml:space="preserve">municipalities into meaningful groups. </w:t>
      </w:r>
      <w:r w:rsidR="00662E70">
        <w:t xml:space="preserve">Since most of the soils of interest </w:t>
      </w:r>
      <w:r w:rsidR="005556CE">
        <w:t>are in</w:t>
      </w:r>
      <w:r w:rsidR="00662E70">
        <w:t xml:space="preserve"> the Northern Cape</w:t>
      </w:r>
      <w:r w:rsidR="005556CE">
        <w:t xml:space="preserve"> province</w:t>
      </w:r>
      <w:r w:rsidR="00662E70">
        <w:t>, f</w:t>
      </w:r>
      <w:r w:rsidR="00DD6D1C">
        <w:t xml:space="preserve">ield crop ranges start relatively </w:t>
      </w:r>
      <w:r w:rsidR="001459C1">
        <w:t>small</w:t>
      </w:r>
      <w:r w:rsidR="00662E70">
        <w:t xml:space="preserve"> </w:t>
      </w:r>
      <w:r w:rsidR="00DD6D1C">
        <w:t>to include some of the important</w:t>
      </w:r>
      <w:r w:rsidR="005556CE">
        <w:t xml:space="preserve"> Northern Cape</w:t>
      </w:r>
      <w:r w:rsidR="00DD6D1C">
        <w:t xml:space="preserve"> field crop growing regions </w:t>
      </w:r>
      <w:r w:rsidR="00B17403">
        <w:t xml:space="preserve">in the analysis. </w:t>
      </w:r>
      <w:r w:rsidR="00D966F9">
        <w:t>Municipal l</w:t>
      </w:r>
      <w:r w:rsidR="003A1CE0">
        <w:t xml:space="preserve">and area used for grazing tends to be relatively </w:t>
      </w:r>
      <w:r w:rsidR="001459C1">
        <w:t>large across the board</w:t>
      </w:r>
      <w:r w:rsidR="00D966F9">
        <w:t xml:space="preserve">, so the categorisation ranges for grazing started with relatively high numbers, to include only </w:t>
      </w:r>
      <w:r w:rsidR="00260E7C">
        <w:t>municipalities with significant grazing.</w:t>
      </w:r>
    </w:p>
    <w:p w14:paraId="6987A53C" w14:textId="03ED9B3B" w:rsidR="00037ACE" w:rsidRDefault="008F561D" w:rsidP="00D62238">
      <w:pPr>
        <w:pStyle w:val="Heading1"/>
      </w:pPr>
      <w:r>
        <w:t xml:space="preserve">Appendix: </w:t>
      </w:r>
      <w:r w:rsidR="00037ACE">
        <w:t>Assessing average farm size</w:t>
      </w:r>
    </w:p>
    <w:p w14:paraId="46E2FC46" w14:textId="27A65DE1" w:rsidR="00FE2B30" w:rsidRPr="00CA3AD4" w:rsidRDefault="00A2550F" w:rsidP="00EC21B9">
      <w:r w:rsidRPr="00CA3AD4">
        <w:t xml:space="preserve">The average sizes of farms in different agricultural commodity classes </w:t>
      </w:r>
      <w:r w:rsidR="00B32672">
        <w:t>are</w:t>
      </w:r>
      <w:r w:rsidR="001056C1" w:rsidRPr="00CA3AD4">
        <w:t xml:space="preserve"> subject</w:t>
      </w:r>
      <w:r w:rsidR="00B32672">
        <w:t>s</w:t>
      </w:r>
      <w:r w:rsidR="001056C1" w:rsidRPr="00CA3AD4">
        <w:t xml:space="preserve"> of interest, since </w:t>
      </w:r>
      <w:r w:rsidR="00F13F2A">
        <w:t>knowing that</w:t>
      </w:r>
      <w:r w:rsidR="001056C1" w:rsidRPr="00CA3AD4">
        <w:t xml:space="preserve"> would allow a calculation of what </w:t>
      </w:r>
      <w:r w:rsidR="002F1169" w:rsidRPr="00CA3AD4">
        <w:t>the</w:t>
      </w:r>
      <w:r w:rsidR="00C70ECB" w:rsidRPr="00CA3AD4">
        <w:t xml:space="preserve"> average</w:t>
      </w:r>
      <w:r w:rsidR="002F1169" w:rsidRPr="00CA3AD4">
        <w:t xml:space="preserve"> transport cost of applying sulfide-enriched material </w:t>
      </w:r>
      <w:r w:rsidR="00616123" w:rsidRPr="00CA3AD4">
        <w:t xml:space="preserve">will be in each commodity class. </w:t>
      </w:r>
      <w:r w:rsidR="00D4442A" w:rsidRPr="00CA3AD4">
        <w:t>Livestock grazing tends to occupy larger land areas</w:t>
      </w:r>
      <w:r w:rsidR="00367E8C">
        <w:t xml:space="preserve"> in most municipalities</w:t>
      </w:r>
      <w:r w:rsidR="00D4442A" w:rsidRPr="00CA3AD4">
        <w:t xml:space="preserve"> than field crops and horticulture, so it would seem </w:t>
      </w:r>
      <w:r w:rsidR="000B7539" w:rsidRPr="00CA3AD4">
        <w:t xml:space="preserve">reasonable to believe that </w:t>
      </w:r>
      <w:r w:rsidR="00630E70" w:rsidRPr="00CA3AD4">
        <w:t xml:space="preserve">livestock farms </w:t>
      </w:r>
      <w:r w:rsidR="0082478F" w:rsidRPr="00CA3AD4">
        <w:t>are bigger and horticultural farms, occupying the smallest area of the agricultural commodity classes, the smallest.</w:t>
      </w:r>
      <w:r w:rsidR="009A6C9B" w:rsidRPr="00CA3AD4">
        <w:t xml:space="preserve"> </w:t>
      </w:r>
      <w:r w:rsidR="001F704B" w:rsidRPr="00CA3AD4">
        <w:t>For reasons that will now be explained, c</w:t>
      </w:r>
      <w:r w:rsidR="009A6C9B" w:rsidRPr="00CA3AD4">
        <w:t xml:space="preserve">onfirming this by </w:t>
      </w:r>
      <w:r w:rsidR="00C70ECB" w:rsidRPr="00CA3AD4">
        <w:t xml:space="preserve">calculation </w:t>
      </w:r>
      <w:r w:rsidR="00E91BC3" w:rsidRPr="00CA3AD4">
        <w:t>could not be done</w:t>
      </w:r>
      <w:r w:rsidR="00BB6C80" w:rsidRPr="00CA3AD4">
        <w:t xml:space="preserve"> with data from statistics South Africa’s </w:t>
      </w:r>
      <w:r w:rsidR="009E6075" w:rsidRPr="00CA3AD4">
        <w:t>Census of Commercial Agriculture that was published in</w:t>
      </w:r>
      <w:r w:rsidR="0022047D" w:rsidRPr="00CA3AD4">
        <w:t xml:space="preserve"> </w:t>
      </w:r>
      <w:r w:rsidR="009E6075" w:rsidRPr="00CA3AD4">
        <w:t>2020</w:t>
      </w:r>
      <w:r w:rsidR="0022047D" w:rsidRPr="00CA3AD4">
        <w:t xml:space="preserve"> </w:t>
      </w:r>
      <w:r w:rsidR="0022047D" w:rsidRPr="00CA3AD4">
        <w:fldChar w:fldCharType="begin" w:fldLock="1"/>
      </w:r>
      <w:r w:rsidR="00A547AB">
        <w:instrText>ADDIN CSL_CITATION {"citationItems":[{"id":"ITEM-1","itemData":{"author":[{"dropping-particle":"","family":"Statistics South Africa","given":"","non-dropping-particle":"","parse-names":false,"suffix":""}],"id":"ITEM-1","issue":"April","issued":{"date-parts":[["2020"]]},"publisher-place":"Pretoria","title":"Census of commercial agriculture 2017 Fact sheets","type":"report"},"uris":["http://www.mendeley.com/documents/?uuid=d34ca8f3-0694-4443-bf6d-e33c91702a34"]}],"mendeley":{"formattedCitation":"(Statistics South Africa, 2020)","plainTextFormattedCitation":"(Statistics South Africa, 2020)","previouslyFormattedCitation":"(Statistics South Africa, 2020)"},"properties":{"noteIndex":0},"schema":"https://github.com/citation-style-language/schema/raw/master/csl-citation.json"}</w:instrText>
      </w:r>
      <w:r w:rsidR="0022047D" w:rsidRPr="00CA3AD4">
        <w:fldChar w:fldCharType="separate"/>
      </w:r>
      <w:r w:rsidR="0022047D" w:rsidRPr="00CA3AD4">
        <w:rPr>
          <w:noProof/>
        </w:rPr>
        <w:t>(Statistics South Africa, 2020)</w:t>
      </w:r>
      <w:r w:rsidR="0022047D" w:rsidRPr="00CA3AD4">
        <w:fldChar w:fldCharType="end"/>
      </w:r>
      <w:r w:rsidRPr="00CA3AD4">
        <w:t xml:space="preserve">. </w:t>
      </w:r>
    </w:p>
    <w:p w14:paraId="681C3F8E" w14:textId="10E8CD39" w:rsidR="00467D38" w:rsidRPr="007E3A63" w:rsidRDefault="00367E8C" w:rsidP="00EC21B9">
      <w:r w:rsidRPr="007E3A63">
        <w:t xml:space="preserve">Firstly, these numbers are not directly reported. </w:t>
      </w:r>
      <w:r w:rsidR="001F704B" w:rsidRPr="007E3A63">
        <w:t>Stat</w:t>
      </w:r>
      <w:r w:rsidRPr="007E3A63">
        <w:t xml:space="preserve">istics </w:t>
      </w:r>
      <w:r w:rsidR="001F704B" w:rsidRPr="007E3A63">
        <w:t>S</w:t>
      </w:r>
      <w:r w:rsidRPr="007E3A63">
        <w:t xml:space="preserve">outh </w:t>
      </w:r>
      <w:r w:rsidR="001F704B" w:rsidRPr="007E3A63">
        <w:t>A</w:t>
      </w:r>
      <w:r w:rsidRPr="007E3A63">
        <w:t>frica</w:t>
      </w:r>
      <w:r w:rsidR="001F704B" w:rsidRPr="007E3A63">
        <w:t xml:space="preserve"> defined </w:t>
      </w:r>
      <w:r w:rsidRPr="007E3A63">
        <w:t xml:space="preserve">the </w:t>
      </w:r>
      <w:r w:rsidR="001F704B" w:rsidRPr="007E3A63">
        <w:t>‘size’ of a farm in economic terms (</w:t>
      </w:r>
      <w:r w:rsidRPr="007E3A63">
        <w:t xml:space="preserve">eg. </w:t>
      </w:r>
      <w:r w:rsidR="001F704B" w:rsidRPr="007E3A63">
        <w:t>a ‘large’ farm is one with an annual income of more than R22.5m) and the word search ‘area’ did not show any results. They</w:t>
      </w:r>
      <w:r w:rsidRPr="007E3A63">
        <w:t xml:space="preserve"> did</w:t>
      </w:r>
      <w:r w:rsidR="00913A34" w:rsidRPr="007E3A63">
        <w:t xml:space="preserve"> </w:t>
      </w:r>
      <w:r w:rsidR="001F704B" w:rsidRPr="007E3A63">
        <w:t xml:space="preserve">give data for land use per commodity class (e.g. 1,000,000 ha in the Western Cape is arable land), but do not present the number of farming units per commodity class as well, so one cannot calculate the average farm surface area in each commodity class. </w:t>
      </w:r>
      <w:r w:rsidR="00D3572F" w:rsidRPr="007E3A63">
        <w:t xml:space="preserve">Also, from their presentation, it appears that more and more farmers are engaging in ‘mixed’ agriculture – growing crops and tending livestock </w:t>
      </w:r>
      <w:r w:rsidR="00CA3AD4" w:rsidRPr="007E3A63">
        <w:t>at the same time, which will complicate such a calculation</w:t>
      </w:r>
      <w:r w:rsidR="00913A34" w:rsidRPr="007E3A63">
        <w:t xml:space="preserve"> if it were undertaken</w:t>
      </w:r>
      <w:r w:rsidR="00CA3AD4" w:rsidRPr="007E3A63">
        <w:t xml:space="preserve">. </w:t>
      </w:r>
      <w:r w:rsidR="005A44A0" w:rsidRPr="007E3A63">
        <w:t>All</w:t>
      </w:r>
      <w:r w:rsidR="001F704B" w:rsidRPr="007E3A63">
        <w:t xml:space="preserve"> the municipalities have a mix of agricultural activities, so it is </w:t>
      </w:r>
      <w:r w:rsidR="001F704B" w:rsidRPr="007E3A63">
        <w:lastRenderedPageBreak/>
        <w:t>impossible to guess at what the spread of farming units is between those activities.</w:t>
      </w:r>
      <w:r w:rsidR="005A44A0" w:rsidRPr="007E3A63">
        <w:t xml:space="preserve"> To complicate matters furthe</w:t>
      </w:r>
      <w:r w:rsidR="00873137" w:rsidRPr="007E3A63">
        <w:t xml:space="preserve">r, looking at the average farm sizes per municipality showed that Northern Cape farms are on average bigger than Limpopo or even Free State farms, regardless of their commodity. </w:t>
      </w:r>
      <w:r w:rsidR="001F704B" w:rsidRPr="007E3A63">
        <w:t xml:space="preserve"> </w:t>
      </w:r>
      <w:r w:rsidR="00FE2B30" w:rsidRPr="007E3A63">
        <w:t xml:space="preserve">I didn’t find data on farm sizes per commodity or area or even commercial vs </w:t>
      </w:r>
      <w:r w:rsidR="00D27C2F" w:rsidRPr="007E3A63">
        <w:t>small scale</w:t>
      </w:r>
      <w:r w:rsidR="00FE2B30" w:rsidRPr="007E3A63">
        <w:t xml:space="preserve"> farming</w:t>
      </w:r>
      <w:r w:rsidR="00A10AD3" w:rsidRPr="007E3A63">
        <w:t>.</w:t>
      </w:r>
      <w:r w:rsidR="00FE2B30" w:rsidRPr="007E3A63">
        <w:t xml:space="preserve"> </w:t>
      </w:r>
      <w:r w:rsidR="00A10AD3" w:rsidRPr="007E3A63">
        <w:t>E</w:t>
      </w:r>
      <w:r w:rsidR="00FE2B30" w:rsidRPr="007E3A63">
        <w:t xml:space="preserve">ven a PhD thesis on the progression of agriculture </w:t>
      </w:r>
      <w:r w:rsidR="00A10AD3" w:rsidRPr="007E3A63">
        <w:t xml:space="preserve">in South Africa </w:t>
      </w:r>
      <w:r w:rsidR="00FE2B30" w:rsidRPr="007E3A63">
        <w:t>only gave a country-wide average</w:t>
      </w:r>
      <w:r w:rsidR="00A10AD3" w:rsidRPr="007E3A63">
        <w:t xml:space="preserve"> </w:t>
      </w:r>
      <w:r w:rsidR="00A547AB" w:rsidRPr="007E3A63">
        <w:fldChar w:fldCharType="begin" w:fldLock="1"/>
      </w:r>
      <w:r w:rsidR="00C17B87">
        <w:instrText>ADDIN CSL_CITATION {"citationItems":[{"id":"ITEM-1","itemData":{"abstract":"The objective of this study was to provide a more complete understanding of the changing pace and nature of production and productivity growth in South African agriculture during the 20th century and the associated changes in research and development (R&amp;D) investments and institutions that affect agricultural input, output and productivity performance. A completely new panel of data was constructed to track investments in agricultural R&amp;D and scientific capacity that took account of the numerous structural and organizational changes that shaped public R&amp;D since 1910. The national agricultural production accounts were also revised to address the legacy of South Africa's history of racial segregation and a multitude of problems that arose in the official time series data due to changes in the underlying statistical methods and procedures. With these new output and input data in hand the evolution of production agriculture over the past century was quantified and described. The modern indexing methodologies deployed in this study, in conjunction with new primary price and quantity data yielded new insights into the economic evolution of South African agriculture over the past century. This study analyses the changing historic patterns of public sector investment in the agricultural sector and identifies the phases in policy evolution against the trends in aggregate spending on agriculture, farmer support and R&amp;D. Following an initial phase of scientific capacity building, the R&amp;D system","author":[{"dropping-particle":"","family":"Liebenberg","given":"Frikkie","non-dropping-particle":"","parse-names":false,"suffix":""}],"id":"ITEM-1","issue":"February","issued":{"date-parts":[["2013"]]},"note":"In 2007 the average farm size was 2113 ha.","number-of-pages":"242","publisher":"University of Pretoria","title":"South African Agricultural Production , Productivity and Research Performance in the 20 th Century","type":"thesis"},"uris":["http://www.mendeley.com/documents/?uuid=535e397b-f433-4016-88ac-813f321c8359"]}],"mendeley":{"formattedCitation":"(Liebenberg, 2013)","plainTextFormattedCitation":"(Liebenberg, 2013)","previouslyFormattedCitation":"(Liebenberg, 2013)"},"properties":{"noteIndex":0},"schema":"https://github.com/citation-style-language/schema/raw/master/csl-citation.json"}</w:instrText>
      </w:r>
      <w:r w:rsidR="00A547AB" w:rsidRPr="007E3A63">
        <w:fldChar w:fldCharType="separate"/>
      </w:r>
      <w:r w:rsidR="00A547AB" w:rsidRPr="007E3A63">
        <w:rPr>
          <w:noProof/>
        </w:rPr>
        <w:t>(Liebenberg, 2013)</w:t>
      </w:r>
      <w:r w:rsidR="00A547AB" w:rsidRPr="007E3A63">
        <w:fldChar w:fldCharType="end"/>
      </w:r>
      <w:r w:rsidR="00FE2B30" w:rsidRPr="007E3A63">
        <w:t>.</w:t>
      </w:r>
    </w:p>
    <w:p w14:paraId="3B3E5F66" w14:textId="74BE68BD" w:rsidR="001552B3" w:rsidRPr="004B570A" w:rsidRDefault="007E3A63" w:rsidP="00EC21B9">
      <w:pPr>
        <w:rPr>
          <w:highlight w:val="yellow"/>
        </w:rPr>
      </w:pPr>
      <w:r w:rsidRPr="007E3A63">
        <w:t>I therefore</w:t>
      </w:r>
      <w:r>
        <w:t xml:space="preserve"> calculated only the </w:t>
      </w:r>
      <w:r w:rsidR="00000851">
        <w:t>average farm size per municipality, taking the sum of the</w:t>
      </w:r>
      <w:r w:rsidR="00A72FFB">
        <w:t xml:space="preserve"> land</w:t>
      </w:r>
      <w:r w:rsidR="00000851">
        <w:t xml:space="preserve"> areas </w:t>
      </w:r>
      <w:r w:rsidR="00A72FFB">
        <w:t>occupied by</w:t>
      </w:r>
      <w:r w:rsidR="00000851">
        <w:t xml:space="preserve"> </w:t>
      </w:r>
      <w:r w:rsidR="00A72FFB">
        <w:t xml:space="preserve">different agricultural commodity classes and dividing that by the </w:t>
      </w:r>
      <w:r w:rsidR="00D91DBC">
        <w:t xml:space="preserve">number of farming units in that municipality. </w:t>
      </w:r>
      <w:r w:rsidR="00072B2F">
        <w:t>These average numbers were then averaged to find the average farm size in the agricultural regions of interest.</w:t>
      </w:r>
    </w:p>
    <w:p w14:paraId="068B3D6A" w14:textId="77777777" w:rsidR="00596A22" w:rsidRDefault="00596A22" w:rsidP="00596A22">
      <w:pPr>
        <w:pStyle w:val="Heading1"/>
      </w:pPr>
      <w:r>
        <w:t>Appendix: Costing assumptions</w:t>
      </w:r>
    </w:p>
    <w:p w14:paraId="26BFB7A4" w14:textId="77777777" w:rsidR="00596A22" w:rsidRPr="00EA7561" w:rsidRDefault="00596A22" w:rsidP="00596A22">
      <w:pPr>
        <w:pStyle w:val="Heading4"/>
      </w:pPr>
      <w:bookmarkStart w:id="0" w:name="_Ref454972355"/>
      <w:bookmarkStart w:id="1" w:name="_Toc459713608"/>
      <w:r>
        <w:t>Road transport costs in South Africa</w:t>
      </w:r>
      <w:bookmarkEnd w:id="0"/>
      <w:bookmarkEnd w:id="1"/>
    </w:p>
    <w:p w14:paraId="23F4E7E5" w14:textId="1E54FFB5" w:rsidR="00596A22" w:rsidRDefault="00596A22" w:rsidP="00596A22">
      <w:r>
        <w:t xml:space="preserve">The cost of road transport of a product depends on its mass as well as the distance that it has to travel and is therefore normally quoted in R/t-km </w:t>
      </w:r>
      <w:r>
        <w:fldChar w:fldCharType="begin" w:fldLock="1"/>
      </w:r>
      <w:r>
        <w:instrText>ADDIN CSL_CITATION {"citationItems":[{"id":"ITEM-1","itemData":{"author":[{"dropping-particle":"","family":"Braun","given":"Max","non-dropping-particle":"","parse-names":false,"suffix":""},{"dropping-particle":"","family":"Zyl","given":"Pieter","non-dropping-particle":"Van","parse-names":false,"suffix":""}],"container-title":"Unknown","id":"ITEM-1","issued":{"date-parts":[["2012"]]},"title":"Transport costs in the potato industry","type":"article-magazine"},"uris":["http://www.mendeley.com/documents/?uuid=ba2c52a4-070a-40cf-b68e-dc2ed8b98417"]},{"id":"ITEM-2","itemData":{"author":[{"dropping-particle":"","family":"Simpson","given":"Zane Paul","non-dropping-particle":"","parse-names":false,"suffix":""}],"id":"ITEM-2","issued":{"date-parts":[["2013"]]},"publisher":"University of Stellenbosh","title":"The Development of a Freight Flow Segmentation Methodology to Inform Rail Reform: A South African case study","type":"thesis"},"uris":["http://www.mendeley.com/documents/?uuid=350220eb-45b8-448b-9302-88e1d29c18c9"]}],"mendeley":{"formattedCitation":"(Braun and Van Zyl, 2012; Simpson, 2013)","plainTextFormattedCitation":"(Braun and Van Zyl, 2012; Simpson, 2013)","previouslyFormattedCitation":"(Braun and Van Zyl, 2012; Simpson, 2013)"},"properties":{"noteIndex":0},"schema":"https://github.com/citation-style-language/schema/raw/master/csl-citation.json"}</w:instrText>
      </w:r>
      <w:r>
        <w:fldChar w:fldCharType="separate"/>
      </w:r>
      <w:r w:rsidRPr="00F47472">
        <w:rPr>
          <w:noProof/>
        </w:rPr>
        <w:t>(Braun and Van Zyl, 2012; Simpson, 2013)</w:t>
      </w:r>
      <w:r>
        <w:fldChar w:fldCharType="end"/>
      </w:r>
      <w:r>
        <w:t xml:space="preserve">. This assumes that the transport vessel is filled to capacity. Should a truck be loaded with a lower mass than its design specifies, the cost per tonne-km will be higher than this estimate due to inefficient use. </w:t>
      </w:r>
      <w:r w:rsidR="00963DB7">
        <w:t xml:space="preserve">By extension, </w:t>
      </w:r>
      <w:r>
        <w:t>whether trucks are full on the away and return legs of a trip</w:t>
      </w:r>
      <w:r w:rsidR="00DF1E03">
        <w:t xml:space="preserve"> influences the transport cost significantly</w:t>
      </w:r>
      <w:r>
        <w:t xml:space="preserve">. </w:t>
      </w:r>
      <w:r w:rsidRPr="00A25E70">
        <w:t>The use of a vehicle that only carries load on one leg of a trip will cost roughly double that of one that is used on both legs</w:t>
      </w:r>
      <w:r>
        <w:t xml:space="preserve"> </w:t>
      </w:r>
      <w:r>
        <w:fldChar w:fldCharType="begin" w:fldLock="1"/>
      </w:r>
      <w:r>
        <w:instrText>ADDIN CSL_CITATION {"citationItems":[{"id":"ITEM-1","itemData":{"author":[{"dropping-particle":"","family":"Braun","given":"Max","non-dropping-particle":"","parse-names":false,"suffix":""},{"dropping-particle":"","family":"Zyl","given":"Pieter","non-dropping-particle":"Van","parse-names":false,"suffix":""}],"container-title":"Unknown","id":"ITEM-1","issued":{"date-parts":[["2012"]]},"title":"Transport costs in the potato industry","type":"article-magazine"},"uris":["http://www.mendeley.com/documents/?uuid=ba2c52a4-070a-40cf-b68e-dc2ed8b98417"]}],"mendeley":{"formattedCitation":"(Braun and Van Zyl, 2012)","plainTextFormattedCitation":"(Braun and Van Zyl, 2012)","previouslyFormattedCitation":"(Braun and Van Zyl, 2012)"},"properties":{"noteIndex":0},"schema":"https://github.com/citation-style-language/schema/raw/master/csl-citation.json"}</w:instrText>
      </w:r>
      <w:r>
        <w:fldChar w:fldCharType="separate"/>
      </w:r>
      <w:r w:rsidRPr="00F47472">
        <w:rPr>
          <w:noProof/>
        </w:rPr>
        <w:t>(Braun and Van Zyl, 2012)</w:t>
      </w:r>
      <w:r>
        <w:fldChar w:fldCharType="end"/>
      </w:r>
      <w:r w:rsidRPr="00A25E70">
        <w:t>, depending on the arrangement with the truck contractor</w:t>
      </w:r>
      <w:r>
        <w:t xml:space="preserve">. Lastly, the type of truck used will also affect the transport costs. The most likely transport vehicle will be a 7-axle interlink truck, since it can carry large loads efficiently </w:t>
      </w:r>
      <w:r>
        <w:fldChar w:fldCharType="begin" w:fldLock="1"/>
      </w:r>
      <w:r w:rsidR="0022047D">
        <w:instrText>ADDIN CSL_CITATION {"citationItems":[{"id":"ITEM-1","itemData":{"author":[{"dropping-particle":"","family":"Braun","given":"Max","non-dropping-particle":"","parse-names":false,"suffix":""}],"container-title":"Fleetwatch","id":"ITEM-1","issued":{"date-parts":[["2019"]]},"note":"From Duplicate 1 (Truck operating benchmarks - Braun, Max)\n\nCost/ton.km for a 7-axle tautliner interlink:\n100% load: R0.58\n75% load: R0.77\n50% load: R1.16\n\nCost/ton.km for a 7-axle interlink\n100% load: R0.64\n50% load: R1.28","page":"55-59","title":"Truck operating benchmarks","type":"article-journal","volume":"65"},"uris":["http://www.mendeley.com/documents/?uuid=d1bf521f-1d5e-40f3-9004-46497ba4ee90"]}],"mendeley":{"formattedCitation":"(Braun, 2019)","plainTextFormattedCitation":"(Braun, 2019)","previouslyFormattedCitation":"(Braun, 2019)"},"properties":{"noteIndex":0},"schema":"https://github.com/citation-style-language/schema/raw/master/csl-citation.json"}</w:instrText>
      </w:r>
      <w:r>
        <w:fldChar w:fldCharType="separate"/>
      </w:r>
      <w:r w:rsidR="00A27D07" w:rsidRPr="00A27D07">
        <w:rPr>
          <w:noProof/>
        </w:rPr>
        <w:t>(Braun, 2019)</w:t>
      </w:r>
      <w:r>
        <w:fldChar w:fldCharType="end"/>
      </w:r>
      <w:r>
        <w:t>.</w:t>
      </w:r>
      <w:r w:rsidR="00E9484C" w:rsidRPr="00E9484C">
        <w:t xml:space="preserve"> </w:t>
      </w:r>
      <w:r w:rsidR="00E9484C">
        <w:t>Using the 50% utilisation figure (R 1.28 /t-km) was considered conservative, since the sulfide-enriched material will not be transported in the same manner as the food products that farmers produce, and trucks are therefore likely to return empty, unless nearby mines (such as manganese mines in the Northern Cape) will</w:t>
      </w:r>
      <w:r w:rsidR="006F6A59">
        <w:t xml:space="preserve"> agree to</w:t>
      </w:r>
      <w:r w:rsidR="00E9484C">
        <w:t xml:space="preserve"> fill the trucks on the return leg and share logistics costs. This would materially reduce the cost of transport.</w:t>
      </w:r>
    </w:p>
    <w:p w14:paraId="5B9E22A6" w14:textId="4AFD65A2" w:rsidR="00596A22" w:rsidRPr="00897678" w:rsidRDefault="00596A22" w:rsidP="00596A22">
      <w:r>
        <w:t xml:space="preserve">The March 2019 Fleetwatch numbers for a 7-axle interlink truck indicated that transport would cost around R 1.28/t-km if the truck is empty on the return trip or R 0.64 /t-km if the truck is filled in both directions </w:t>
      </w:r>
      <w:r>
        <w:fldChar w:fldCharType="begin" w:fldLock="1"/>
      </w:r>
      <w:r w:rsidR="0022047D">
        <w:instrText>ADDIN CSL_CITATION {"citationItems":[{"id":"ITEM-1","itemData":{"author":[{"dropping-particle":"","family":"Braun","given":"Max","non-dropping-particle":"","parse-names":false,"suffix":""}],"container-title":"Fleetwatch","id":"ITEM-1","issued":{"date-parts":[["2019"]]},"note":"From Duplicate 1 (Truck operating benchmarks - Braun, Max)\n\nCost/ton.km for a 7-axle tautliner interlink:\n100% load: R0.58\n75% load: R0.77\n50% load: R1.16\n\nCost/ton.km for a 7-axle interlink\n100% load: R0.64\n50% load: R1.28","page":"55-59","title":"Truck operating benchmarks","type":"article-journal","volume":"65"},"uris":["http://www.mendeley.com/documents/?uuid=d1bf521f-1d5e-40f3-9004-46497ba4ee90"]}],"mendeley":{"formattedCitation":"(Braun, 2019)","plainTextFormattedCitation":"(Braun, 2019)","previouslyFormattedCitation":"(Braun, 2019)"},"properties":{"noteIndex":0},"schema":"https://github.com/citation-style-language/schema/raw/master/csl-citation.json"}</w:instrText>
      </w:r>
      <w:r>
        <w:fldChar w:fldCharType="separate"/>
      </w:r>
      <w:r w:rsidR="00A27D07" w:rsidRPr="00A27D07">
        <w:rPr>
          <w:noProof/>
        </w:rPr>
        <w:t>(Braun, 2019)</w:t>
      </w:r>
      <w:r>
        <w:fldChar w:fldCharType="end"/>
      </w:r>
      <w:r>
        <w:t xml:space="preserve">. These numbers are significantly higher than Viljoen et al.’s </w:t>
      </w:r>
      <w:r>
        <w:fldChar w:fldCharType="begin" w:fldLock="1"/>
      </w:r>
      <w:r>
        <w:instrText>ADDIN CSL_CITATION {"citationItems":[{"id":"ITEM-1","itemData":{"ISBN":"9780620659970","author":[{"dropping-particle":"","family":"Viljoen","given":"Nadia","non-dropping-particle":"","parse-names":false,"suffix":""},{"dropping-particle":"","family":"King","given":"David","non-dropping-particle":"","parse-names":false,"suffix":""},{"dropping-particle":"","family":"Havenga","given":"Jan","non-dropping-particle":"","parse-names":false,"suffix":""},{"dropping-particle":"","family":"Simpson","given":"Zane Paul","non-dropping-particle":"","parse-names":false,"suffix":""},{"dropping-particle":"","family":"Bod","given":"Anneke","non-dropping-particle":"De","parse-names":false,"suffix":""},{"dropping-particle":"","family":"Braun","given":"Max","non-dropping-particle":"","parse-names":false,"suffix":""}],"id":"ITEM-1","issued":{"date-parts":[["2015"]]},"publisher-place":"Stellenbosch","title":"Logistics Barometer 2015: South Africa","type":"report"},"uris":["http://www.mendeley.com/documents/?uuid=be163314-7c9e-439e-aa2b-f64f8db3ca3b"]}],"mendeley":{"formattedCitation":"(Viljoen et al., 2015)","manualFormatting":"(2015)","plainTextFormattedCitation":"(Viljoen et al., 2015)","previouslyFormattedCitation":"(Viljoen et al., 2015)"},"properties":{"noteIndex":0},"schema":"https://github.com/citation-style-language/schema/raw/master/csl-citation.json"}</w:instrText>
      </w:r>
      <w:r>
        <w:fldChar w:fldCharType="separate"/>
      </w:r>
      <w:r w:rsidRPr="004E4D45">
        <w:rPr>
          <w:noProof/>
        </w:rPr>
        <w:t>(2015)</w:t>
      </w:r>
      <w:r>
        <w:fldChar w:fldCharType="end"/>
      </w:r>
      <w:r>
        <w:t xml:space="preserve"> April number of R 0.39 /t-km for a full truck, </w:t>
      </w:r>
      <w:r w:rsidRPr="0033156E">
        <w:t>given that inflation calculated with the South African Rese</w:t>
      </w:r>
      <w:r>
        <w:t>r</w:t>
      </w:r>
      <w:r w:rsidRPr="0033156E">
        <w:t xml:space="preserve">ve Bank’s consumer price index (CPI) figures would have increased the price to R 0.47 /t-km </w:t>
      </w:r>
      <w:r>
        <w:fldChar w:fldCharType="begin" w:fldLock="1"/>
      </w:r>
      <w:r>
        <w:instrText>ADDIN CSL_CITATION {"citationItems":[{"id":"ITEM-1","itemData":{"URL":"http://wwwrs.resbank.co.za/webindicators/SDDSDetail.aspx?DataItem=CPI1000A","accessed":{"date-parts":[["2019","5","13"]]},"author":[{"dropping-particle":"","family":"South African Reserve Bank","given":"","non-dropping-particle":"","parse-names":false,"suffix":""}],"container-title":"Online Statistical Query","id":"ITEM-1","issued":{"date-parts":[["2019"]]},"title":"Consumer Prices (nsa)","type":"webpage"},"uris":["http://www.mendeley.com/documents/?uuid=b5ec227e-3ee5-485f-bc72-4dc2af185398"]}],"mendeley":{"formattedCitation":"(South African Reserve Bank, 2019)","plainTextFormattedCitation":"(South African Reserve Bank, 2019)","previouslyFormattedCitation":"(South African Reserve Bank, 2019)"},"properties":{"noteIndex":0},"schema":"https://github.com/citation-style-language/schema/raw/master/csl-citation.json"}</w:instrText>
      </w:r>
      <w:r>
        <w:fldChar w:fldCharType="separate"/>
      </w:r>
      <w:r w:rsidRPr="00F47472">
        <w:rPr>
          <w:noProof/>
        </w:rPr>
        <w:t>(South African Reserve Bank, 2019)</w:t>
      </w:r>
      <w:r>
        <w:fldChar w:fldCharType="end"/>
      </w:r>
      <w:r>
        <w:t xml:space="preserve">. The increase in fuel price is similar to the CPI figures, so the increased cost cannot be ascribed to </w:t>
      </w:r>
      <w:r w:rsidR="008D2195">
        <w:t xml:space="preserve">an outsized </w:t>
      </w:r>
      <w:r>
        <w:t xml:space="preserve">increase </w:t>
      </w:r>
      <w:r w:rsidR="008D2195">
        <w:t xml:space="preserve">in </w:t>
      </w:r>
      <w:r>
        <w:t xml:space="preserve">fuel prices. </w:t>
      </w:r>
      <w:r w:rsidR="008D2195">
        <w:t xml:space="preserve">The price increase </w:t>
      </w:r>
      <w:r>
        <w:t xml:space="preserve">might be due to South Africa’s deteriorating road infrastructure </w:t>
      </w:r>
      <w:r>
        <w:fldChar w:fldCharType="begin" w:fldLock="1"/>
      </w:r>
      <w:r>
        <w:instrText>ADDIN CSL_CITATION {"citationItems":[{"id":"ITEM-1","itemData":{"ISBN":"9780620659970","author":[{"dropping-particle":"","family":"Viljoen","given":"Nadia","non-dropping-particle":"","parse-names":false,"suffix":""},{"dropping-particle":"","family":"King","given":"David","non-dropping-particle":"","parse-names":false,"suffix":""},{"dropping-particle":"","family":"Havenga","given":"Jan","non-dropping-particle":"","parse-names":false,"suffix":""},{"dropping-particle":"","family":"Simpson","given":"Zane Paul","non-dropping-particle":"","parse-names":false,"suffix":""},{"dropping-particle":"","family":"Bod","given":"Anneke","non-dropping-particle":"De","parse-names":false,"suffix":""},{"dropping-particle":"","family":"Braun","given":"Max","non-dropping-particle":"","parse-names":false,"suffix":""}],"id":"ITEM-1","issued":{"date-parts":[["2015"]]},"publisher-place":"Stellenbosch","title":"Logistics Barometer 2015: South Africa","type":"report"},"uris":["http://www.mendeley.com/documents/?uuid=be163314-7c9e-439e-aa2b-f64f8db3ca3b"]}],"mendeley":{"formattedCitation":"(Viljoen et al., 2015)","plainTextFormattedCitation":"(Viljoen et al., 2015)","previouslyFormattedCitation":"(Viljoen et al., 2015)"},"properties":{"noteIndex":0},"schema":"https://github.com/citation-style-language/schema/raw/master/csl-citation.json"}</w:instrText>
      </w:r>
      <w:r>
        <w:fldChar w:fldCharType="separate"/>
      </w:r>
      <w:r w:rsidRPr="00F66F3A">
        <w:rPr>
          <w:noProof/>
        </w:rPr>
        <w:t>(Viljoen et al., 2015)</w:t>
      </w:r>
      <w:r>
        <w:fldChar w:fldCharType="end"/>
      </w:r>
      <w:r>
        <w:t xml:space="preserve"> and concomitant increased truck maintenance costs or </w:t>
      </w:r>
      <w:r w:rsidR="008D2195">
        <w:t>more regular</w:t>
      </w:r>
      <w:r>
        <w:t xml:space="preserve"> truck replacement costs. </w:t>
      </w:r>
    </w:p>
    <w:p w14:paraId="5CA42C45" w14:textId="77777777" w:rsidR="00596A22" w:rsidRDefault="00596A22" w:rsidP="00596A22">
      <w:pPr>
        <w:pStyle w:val="Heading4"/>
      </w:pPr>
      <w:r>
        <w:t>Competitor product price</w:t>
      </w:r>
    </w:p>
    <w:p w14:paraId="21433779" w14:textId="6AFA08BA" w:rsidR="00596A22" w:rsidRDefault="00596A22" w:rsidP="00596A22">
      <w:r>
        <w:t xml:space="preserve">Pyrite works by spot reducing the pH of alkaline soils, improving nutrient availability and releasing iron and sulfur as nutrients. It also works by dissolving calcite inherent in sodic soils, thereby releasing calcium ions and replacing some of the sodium ions adsorbed on clay particles. This improves soils’ structure. The products that are competitors therefore either reduce pH, add nutrients or improve structure by the addition of calcium ions, mostly in to form of gypsum.  </w:t>
      </w:r>
      <w:r w:rsidR="00286332">
        <w:t xml:space="preserve">Gypsum was chosen as the competitor product </w:t>
      </w:r>
      <w:r w:rsidR="003F33E2">
        <w:t xml:space="preserve">to compare prices with in this analysis, since it is also a bulk </w:t>
      </w:r>
      <w:r w:rsidR="00423A06">
        <w:t>mineral</w:t>
      </w:r>
      <w:r w:rsidR="003F33E2">
        <w:t xml:space="preserve"> commodity used for soil amelioration.</w:t>
      </w:r>
    </w:p>
    <w:p w14:paraId="2BD288B9" w14:textId="03A478AD" w:rsidR="00596A22" w:rsidRDefault="00596A22" w:rsidP="00596A22">
      <w:r w:rsidRPr="00155263">
        <w:lastRenderedPageBreak/>
        <w:t xml:space="preserve">Gypsum to the Northern Cape </w:t>
      </w:r>
      <w:r>
        <w:t xml:space="preserve">will most likely be supplied from Phokeng, near Rustenburg, since it is better priced at R 235 /t than the Potchefstroom gypsum at R 360 /t </w:t>
      </w:r>
      <w:r>
        <w:fldChar w:fldCharType="begin" w:fldLock="1"/>
      </w:r>
      <w:r>
        <w:instrText>ADDIN CSL_CITATION {"citationItems":[{"id":"ITEM-1","itemData":{"author":[{"dropping-particle":"","family":"Kalkor (Pty) Ltd","given":"","non-dropping-particle":"","parse-names":false,"suffix":""}],"id":"ITEM-1","issue":"May","issued":{"date-parts":[["2019"]]},"title":"Price list","type":"article"},"uris":["http://www.mendeley.com/documents/?uuid=a7f1ea81-b595-46c7-9188-5792d4b90737"]}],"mendeley":{"formattedCitation":"(Kalkor (Pty) Ltd, 2019)","plainTextFormattedCitation":"(Kalkor (Pty) Ltd, 2019)","previouslyFormattedCitation":"(Kalkor (Pty) Ltd, 2019)"},"properties":{"noteIndex":0},"schema":"https://github.com/citation-style-language/schema/raw/master/csl-citation.json"}</w:instrText>
      </w:r>
      <w:r>
        <w:fldChar w:fldCharType="separate"/>
      </w:r>
      <w:r w:rsidRPr="00F47472">
        <w:rPr>
          <w:noProof/>
        </w:rPr>
        <w:t>(Kalkor (Pty) Ltd, 2019)</w:t>
      </w:r>
      <w:r>
        <w:fldChar w:fldCharType="end"/>
      </w:r>
      <w:r>
        <w:t xml:space="preserve">. In Mpumalanga gypsum is supplied from Middelburg at R 240 /t, while in Limpopo gypsum is supplied from Phalaborwa at R 190 /t </w:t>
      </w:r>
      <w:r>
        <w:fldChar w:fldCharType="begin" w:fldLock="1"/>
      </w:r>
      <w:r>
        <w:instrText>ADDIN CSL_CITATION {"citationItems":[{"id":"ITEM-1","itemData":{"author":[{"dropping-particle":"","family":"Kalkor (Pty) Ltd","given":"","non-dropping-particle":"","parse-names":false,"suffix":""}],"id":"ITEM-1","issue":"May","issued":{"date-parts":[["2019"]]},"title":"Price list","type":"article"},"uris":["http://www.mendeley.com/documents/?uuid=a7f1ea81-b595-46c7-9188-5792d4b90737"]}],"mendeley":{"formattedCitation":"(Kalkor (Pty) Ltd, 2019)","plainTextFormattedCitation":"(Kalkor (Pty) Ltd, 2019)","previouslyFormattedCitation":"(Kalkor (Pty) Ltd, 2019)"},"properties":{"noteIndex":0},"schema":"https://github.com/citation-style-language/schema/raw/master/csl-citation.json"}</w:instrText>
      </w:r>
      <w:r>
        <w:fldChar w:fldCharType="separate"/>
      </w:r>
      <w:r w:rsidRPr="00F47472">
        <w:rPr>
          <w:noProof/>
        </w:rPr>
        <w:t>(Kalkor (Pty) Ltd, 2019)</w:t>
      </w:r>
      <w:r>
        <w:fldChar w:fldCharType="end"/>
      </w:r>
      <w:r>
        <w:t xml:space="preserve">. Chloorkop supplies Gauteng at R 315 /t </w:t>
      </w:r>
      <w:r>
        <w:fldChar w:fldCharType="begin" w:fldLock="1"/>
      </w:r>
      <w:r>
        <w:instrText>ADDIN CSL_CITATION {"citationItems":[{"id":"ITEM-1","itemData":{"author":[{"dropping-particle":"","family":"Kalkor (Pty) Ltd","given":"","non-dropping-particle":"","parse-names":false,"suffix":""}],"id":"ITEM-1","issue":"May","issued":{"date-parts":[["2019"]]},"title":"Price list","type":"article"},"uris":["http://www.mendeley.com/documents/?uuid=a7f1ea81-b595-46c7-9188-5792d4b90737"]}],"mendeley":{"formattedCitation":"(Kalkor (Pty) Ltd, 2019)","plainTextFormattedCitation":"(Kalkor (Pty) Ltd, 2019)","previouslyFormattedCitation":"(Kalkor (Pty) Ltd, 2019)"},"properties":{"noteIndex":0},"schema":"https://github.com/citation-style-language/schema/raw/master/csl-citation.json"}</w:instrText>
      </w:r>
      <w:r>
        <w:fldChar w:fldCharType="separate"/>
      </w:r>
      <w:r w:rsidRPr="00F47472">
        <w:rPr>
          <w:noProof/>
        </w:rPr>
        <w:t>(Kalkor (Pty) Ltd, 2019)</w:t>
      </w:r>
      <w:r>
        <w:fldChar w:fldCharType="end"/>
      </w:r>
      <w:r>
        <w:t>. Other gypsum suppliers did not respond to requests for quotes.</w:t>
      </w:r>
    </w:p>
    <w:sectPr w:rsidR="00596A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3463D" w14:textId="77777777" w:rsidR="0039618F" w:rsidRDefault="0039618F" w:rsidP="00596A22">
      <w:pPr>
        <w:spacing w:after="0" w:line="240" w:lineRule="auto"/>
      </w:pPr>
      <w:r>
        <w:separator/>
      </w:r>
    </w:p>
  </w:endnote>
  <w:endnote w:type="continuationSeparator" w:id="0">
    <w:p w14:paraId="635765BA" w14:textId="77777777" w:rsidR="0039618F" w:rsidRDefault="0039618F" w:rsidP="00596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37115" w14:textId="77777777" w:rsidR="0039618F" w:rsidRDefault="0039618F" w:rsidP="00596A22">
      <w:pPr>
        <w:spacing w:after="0" w:line="240" w:lineRule="auto"/>
      </w:pPr>
      <w:r>
        <w:separator/>
      </w:r>
    </w:p>
  </w:footnote>
  <w:footnote w:type="continuationSeparator" w:id="0">
    <w:p w14:paraId="3ACB37A4" w14:textId="77777777" w:rsidR="0039618F" w:rsidRDefault="0039618F" w:rsidP="00596A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578DE"/>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A22"/>
    <w:rsid w:val="00000851"/>
    <w:rsid w:val="00037ACE"/>
    <w:rsid w:val="0005743D"/>
    <w:rsid w:val="000656B2"/>
    <w:rsid w:val="00067D6D"/>
    <w:rsid w:val="00067F58"/>
    <w:rsid w:val="00072B2F"/>
    <w:rsid w:val="000B7539"/>
    <w:rsid w:val="001056C1"/>
    <w:rsid w:val="001459C1"/>
    <w:rsid w:val="001552B3"/>
    <w:rsid w:val="001C2FF8"/>
    <w:rsid w:val="001F704B"/>
    <w:rsid w:val="0022047D"/>
    <w:rsid w:val="0022470E"/>
    <w:rsid w:val="00260E7C"/>
    <w:rsid w:val="0028404B"/>
    <w:rsid w:val="00286332"/>
    <w:rsid w:val="002A0BC6"/>
    <w:rsid w:val="002B534F"/>
    <w:rsid w:val="002B5D69"/>
    <w:rsid w:val="002B79E8"/>
    <w:rsid w:val="002F1169"/>
    <w:rsid w:val="0032517B"/>
    <w:rsid w:val="00367E8C"/>
    <w:rsid w:val="00381FF5"/>
    <w:rsid w:val="003907C8"/>
    <w:rsid w:val="0039618F"/>
    <w:rsid w:val="003A1CE0"/>
    <w:rsid w:val="003F33E2"/>
    <w:rsid w:val="00400D0B"/>
    <w:rsid w:val="00423A06"/>
    <w:rsid w:val="00446D2D"/>
    <w:rsid w:val="00465351"/>
    <w:rsid w:val="00467D38"/>
    <w:rsid w:val="004B570A"/>
    <w:rsid w:val="00507660"/>
    <w:rsid w:val="005200EA"/>
    <w:rsid w:val="005556CE"/>
    <w:rsid w:val="00595F73"/>
    <w:rsid w:val="00596A22"/>
    <w:rsid w:val="005A44A0"/>
    <w:rsid w:val="006062CE"/>
    <w:rsid w:val="00616123"/>
    <w:rsid w:val="00630E70"/>
    <w:rsid w:val="00633DE5"/>
    <w:rsid w:val="00662E70"/>
    <w:rsid w:val="006A107A"/>
    <w:rsid w:val="006F6A59"/>
    <w:rsid w:val="007403A7"/>
    <w:rsid w:val="00742589"/>
    <w:rsid w:val="00783BFB"/>
    <w:rsid w:val="007C1648"/>
    <w:rsid w:val="007E3A63"/>
    <w:rsid w:val="007F1219"/>
    <w:rsid w:val="0081068B"/>
    <w:rsid w:val="0082478F"/>
    <w:rsid w:val="00871780"/>
    <w:rsid w:val="00873137"/>
    <w:rsid w:val="008D2195"/>
    <w:rsid w:val="008F561D"/>
    <w:rsid w:val="00911123"/>
    <w:rsid w:val="00913A34"/>
    <w:rsid w:val="00963DB7"/>
    <w:rsid w:val="009A6C9B"/>
    <w:rsid w:val="009E6075"/>
    <w:rsid w:val="00A10AD3"/>
    <w:rsid w:val="00A2550F"/>
    <w:rsid w:val="00A27D07"/>
    <w:rsid w:val="00A547AB"/>
    <w:rsid w:val="00A61B21"/>
    <w:rsid w:val="00A72FFB"/>
    <w:rsid w:val="00A80CDD"/>
    <w:rsid w:val="00A92082"/>
    <w:rsid w:val="00A93C05"/>
    <w:rsid w:val="00AF21D6"/>
    <w:rsid w:val="00AF5979"/>
    <w:rsid w:val="00B17403"/>
    <w:rsid w:val="00B32672"/>
    <w:rsid w:val="00B52AC8"/>
    <w:rsid w:val="00B80BFD"/>
    <w:rsid w:val="00B873C2"/>
    <w:rsid w:val="00BB6C80"/>
    <w:rsid w:val="00C17B87"/>
    <w:rsid w:val="00C36B06"/>
    <w:rsid w:val="00C70ECB"/>
    <w:rsid w:val="00C87BDC"/>
    <w:rsid w:val="00C93D2F"/>
    <w:rsid w:val="00CA3AD4"/>
    <w:rsid w:val="00CB2C66"/>
    <w:rsid w:val="00CB74E4"/>
    <w:rsid w:val="00CD746B"/>
    <w:rsid w:val="00D27C2F"/>
    <w:rsid w:val="00D3572F"/>
    <w:rsid w:val="00D4442A"/>
    <w:rsid w:val="00D62238"/>
    <w:rsid w:val="00D91DBC"/>
    <w:rsid w:val="00D966F9"/>
    <w:rsid w:val="00DD6D1C"/>
    <w:rsid w:val="00DF1E03"/>
    <w:rsid w:val="00E867AE"/>
    <w:rsid w:val="00E91BC3"/>
    <w:rsid w:val="00E9484C"/>
    <w:rsid w:val="00EC21B9"/>
    <w:rsid w:val="00EF73D7"/>
    <w:rsid w:val="00F13F2A"/>
    <w:rsid w:val="00F15ED7"/>
    <w:rsid w:val="00FE02AC"/>
    <w:rsid w:val="00FE2B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AC296"/>
  <w15:chartTrackingRefBased/>
  <w15:docId w15:val="{9177771B-1E8D-484F-AE5D-590B8B92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A22"/>
    <w:pPr>
      <w:jc w:val="both"/>
    </w:pPr>
  </w:style>
  <w:style w:type="paragraph" w:styleId="Heading1">
    <w:name w:val="heading 1"/>
    <w:aliases w:val="h1,H1,Report Title"/>
    <w:basedOn w:val="Normal"/>
    <w:next w:val="Normal"/>
    <w:link w:val="Heading1Char"/>
    <w:uiPriority w:val="9"/>
    <w:qFormat/>
    <w:rsid w:val="00596A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596A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96A2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Report Title Char"/>
    <w:basedOn w:val="DefaultParagraphFont"/>
    <w:link w:val="Heading1"/>
    <w:uiPriority w:val="9"/>
    <w:rsid w:val="00596A2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96A2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96A22"/>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596A22"/>
    <w:rPr>
      <w:sz w:val="16"/>
      <w:szCs w:val="16"/>
    </w:rPr>
  </w:style>
  <w:style w:type="paragraph" w:styleId="CommentText">
    <w:name w:val="annotation text"/>
    <w:basedOn w:val="Normal"/>
    <w:link w:val="CommentTextChar"/>
    <w:uiPriority w:val="99"/>
    <w:unhideWhenUsed/>
    <w:rsid w:val="00596A22"/>
    <w:pPr>
      <w:spacing w:line="240" w:lineRule="auto"/>
    </w:pPr>
    <w:rPr>
      <w:color w:val="000000"/>
      <w:sz w:val="20"/>
      <w:szCs w:val="20"/>
    </w:rPr>
  </w:style>
  <w:style w:type="character" w:customStyle="1" w:styleId="CommentTextChar">
    <w:name w:val="Comment Text Char"/>
    <w:basedOn w:val="DefaultParagraphFont"/>
    <w:link w:val="CommentText"/>
    <w:uiPriority w:val="99"/>
    <w:rsid w:val="00596A22"/>
    <w:rPr>
      <w:color w:val="000000"/>
      <w:sz w:val="20"/>
      <w:szCs w:val="20"/>
    </w:rPr>
  </w:style>
  <w:style w:type="paragraph" w:styleId="FootnoteText">
    <w:name w:val="footnote text"/>
    <w:basedOn w:val="Normal"/>
    <w:link w:val="FootnoteTextChar"/>
    <w:uiPriority w:val="99"/>
    <w:semiHidden/>
    <w:unhideWhenUsed/>
    <w:rsid w:val="00596A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6A22"/>
    <w:rPr>
      <w:sz w:val="20"/>
      <w:szCs w:val="20"/>
    </w:rPr>
  </w:style>
  <w:style w:type="character" w:styleId="FootnoteReference">
    <w:name w:val="footnote reference"/>
    <w:basedOn w:val="DefaultParagraphFont"/>
    <w:uiPriority w:val="99"/>
    <w:semiHidden/>
    <w:unhideWhenUsed/>
    <w:rsid w:val="00596A22"/>
    <w:rPr>
      <w:vertAlign w:val="superscript"/>
    </w:rPr>
  </w:style>
  <w:style w:type="paragraph" w:styleId="Title">
    <w:name w:val="Title"/>
    <w:basedOn w:val="Normal"/>
    <w:next w:val="Normal"/>
    <w:link w:val="TitleChar"/>
    <w:uiPriority w:val="10"/>
    <w:qFormat/>
    <w:rsid w:val="00596A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6A2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7D17CAA950EE4D924D1965124D0307" ma:contentTypeVersion="12" ma:contentTypeDescription="Create a new document." ma:contentTypeScope="" ma:versionID="aa86fb85562cc322bf30dc6ba7280b76">
  <xsd:schema xmlns:xsd="http://www.w3.org/2001/XMLSchema" xmlns:xs="http://www.w3.org/2001/XMLSchema" xmlns:p="http://schemas.microsoft.com/office/2006/metadata/properties" xmlns:ns2="342d088f-befc-4512-a35e-849730f478ef" xmlns:ns3="1d74b71d-250a-4272-b26b-d6d60bb5357a" targetNamespace="http://schemas.microsoft.com/office/2006/metadata/properties" ma:root="true" ma:fieldsID="5b0ec5c26990940b698fff333ec66bab" ns2:_="" ns3:_="">
    <xsd:import namespace="342d088f-befc-4512-a35e-849730f478ef"/>
    <xsd:import namespace="1d74b71d-250a-4272-b26b-d6d60bb53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d088f-befc-4512-a35e-849730f47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74b71d-250a-4272-b26b-d6d60bb535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6F30AA-7FA7-4F42-BC7C-6A586817D67A}">
  <ds:schemaRefs>
    <ds:schemaRef ds:uri="http://schemas.openxmlformats.org/officeDocument/2006/bibliography"/>
  </ds:schemaRefs>
</ds:datastoreItem>
</file>

<file path=customXml/itemProps2.xml><?xml version="1.0" encoding="utf-8"?>
<ds:datastoreItem xmlns:ds="http://schemas.openxmlformats.org/officeDocument/2006/customXml" ds:itemID="{BA90E46D-BD96-451D-8FC1-CA361FD01F8B}">
  <ds:schemaRefs>
    <ds:schemaRef ds:uri="http://schemas.microsoft.com/sharepoint/v3/contenttype/forms"/>
  </ds:schemaRefs>
</ds:datastoreItem>
</file>

<file path=customXml/itemProps3.xml><?xml version="1.0" encoding="utf-8"?>
<ds:datastoreItem xmlns:ds="http://schemas.openxmlformats.org/officeDocument/2006/customXml" ds:itemID="{2E88758C-A80A-494C-AA5F-3D719B7FF7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7B5F10-3D85-44CA-B055-7FAFD368F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d088f-befc-4512-a35e-849730f478ef"/>
    <ds:schemaRef ds:uri="1d74b71d-250a-4272-b26b-d6d60bb53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3</Pages>
  <Words>3150</Words>
  <Characters>17961</Characters>
  <Application>Microsoft Office Word</Application>
  <DocSecurity>0</DocSecurity>
  <Lines>149</Lines>
  <Paragraphs>42</Paragraphs>
  <ScaleCrop>false</ScaleCrop>
  <Company/>
  <LinksUpToDate>false</LinksUpToDate>
  <CharactersWithSpaces>21069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Helene-Marie</dc:creator>
  <cp:keywords/>
  <dc:description/>
  <cp:lastModifiedBy>Helene-Marie</cp:lastModifiedBy>
  <cp:revision>102</cp:revision>
  <dcterms:created xsi:type="dcterms:W3CDTF">2021-12-08T19:30:00Z</dcterms:created>
  <dcterms:modified xsi:type="dcterms:W3CDTF">2022-01-05T08:10:00Z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http://www.zotero.org/styles/journal-of-cleaner-production</vt:lpwstr>
  </property>
  <property fmtid="{D5CDD505-2E9C-101B-9397-08002B2CF9AE}" pid="13" name="Mendeley Recent Style Name 5_1">
    <vt:lpwstr>Journal of Cleaner Production</vt:lpwstr>
  </property>
  <property fmtid="{D5CDD505-2E9C-101B-9397-08002B2CF9AE}" pid="14" name="Mendeley Recent Style Id 6_1">
    <vt:lpwstr>http://www.zotero.org/styles/mine-water-and-the-environment</vt:lpwstr>
  </property>
  <property fmtid="{D5CDD505-2E9C-101B-9397-08002B2CF9AE}" pid="15" name="Mendeley Recent Style Name 6_1">
    <vt:lpwstr>Mine Water and the Environment</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http://www.zotero.org/styles/the-journal-of-technology-transfer</vt:lpwstr>
  </property>
  <property fmtid="{D5CDD505-2E9C-101B-9397-08002B2CF9AE}" pid="21" name="Mendeley Recent Style Name 9_1">
    <vt:lpwstr>The Journal of Technology Transfer</vt:lpwstr>
  </property>
  <property fmtid="{D5CDD505-2E9C-101B-9397-08002B2CF9AE}" pid="22" name="Mendeley Document_1">
    <vt:lpwstr>True</vt:lpwstr>
  </property>
  <property fmtid="{D5CDD505-2E9C-101B-9397-08002B2CF9AE}" pid="23" name="Mendeley Unique User Id_1">
    <vt:lpwstr>843e0a71-f503-3f12-8707-97f807564d61</vt:lpwstr>
  </property>
  <property fmtid="{D5CDD505-2E9C-101B-9397-08002B2CF9AE}" pid="24" name="Mendeley Citation Style_1">
    <vt:lpwstr>http://www.zotero.org/styles/journal-of-cleaner-production</vt:lpwstr>
  </property>
  <property fmtid="{D5CDD505-2E9C-101B-9397-08002B2CF9AE}" pid="25" name="ContentTypeId">
    <vt:lpwstr>0x010100897D17CAA950EE4D924D1965124D0307</vt:lpwstr>
  </property>
</Properties>
</file>